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5EC41" w14:textId="54B92417" w:rsidR="00AD567E" w:rsidRDefault="00AD567E" w:rsidP="00AD567E">
      <w:pPr>
        <w:pStyle w:val="RFlietext"/>
      </w:pPr>
      <w:r w:rsidRPr="00AD567E">
        <w:t xml:space="preserve">Stand </w:t>
      </w:r>
      <w:r w:rsidR="00152B7B">
        <w:t>28.1</w:t>
      </w:r>
      <w:r w:rsidR="00EB4941">
        <w:t>2</w:t>
      </w:r>
      <w:r w:rsidR="00152B7B">
        <w:t>.2023</w:t>
      </w:r>
    </w:p>
    <w:p w14:paraId="00855ED8" w14:textId="77777777" w:rsidR="00451C20" w:rsidRPr="00AD567E" w:rsidRDefault="00451C20" w:rsidP="00AD567E">
      <w:pPr>
        <w:pStyle w:val="RFlietext"/>
      </w:pPr>
    </w:p>
    <w:p w14:paraId="17944728" w14:textId="77777777" w:rsidR="00AD567E" w:rsidRPr="00AD567E" w:rsidRDefault="00AD567E" w:rsidP="00AD567E">
      <w:pPr>
        <w:pBdr>
          <w:top w:val="single" w:sz="4" w:space="3" w:color="auto"/>
          <w:left w:val="single" w:sz="4" w:space="4" w:color="auto"/>
          <w:bottom w:val="single" w:sz="4" w:space="3" w:color="auto"/>
          <w:right w:val="single" w:sz="4" w:space="4" w:color="auto"/>
        </w:pBdr>
        <w:jc w:val="center"/>
        <w:rPr>
          <w:rFonts w:cs="Arial"/>
          <w:b/>
          <w:sz w:val="32"/>
          <w:u w:val="single"/>
        </w:rPr>
      </w:pPr>
      <w:r w:rsidRPr="00AD567E">
        <w:rPr>
          <w:rFonts w:cs="Arial"/>
          <w:b/>
          <w:sz w:val="32"/>
        </w:rPr>
        <w:t xml:space="preserve">Merkblatt für Begünstigte zur Erfüllung der Auflage „Vergabe von </w:t>
      </w:r>
      <w:r w:rsidR="0008550D">
        <w:rPr>
          <w:rFonts w:cs="Arial"/>
          <w:b/>
          <w:sz w:val="32"/>
        </w:rPr>
        <w:t xml:space="preserve">Aufträgen“ (vgl. Nr. 3 </w:t>
      </w:r>
      <w:proofErr w:type="spellStart"/>
      <w:r w:rsidR="0008550D">
        <w:rPr>
          <w:rFonts w:cs="Arial"/>
          <w:b/>
          <w:sz w:val="32"/>
        </w:rPr>
        <w:t>ANBest</w:t>
      </w:r>
      <w:proofErr w:type="spellEnd"/>
      <w:r w:rsidR="0008550D">
        <w:rPr>
          <w:rFonts w:cs="Arial"/>
          <w:b/>
          <w:sz w:val="32"/>
        </w:rPr>
        <w:t>-EMF</w:t>
      </w:r>
      <w:r w:rsidR="00152B7B">
        <w:rPr>
          <w:rFonts w:cs="Arial"/>
          <w:b/>
          <w:sz w:val="32"/>
        </w:rPr>
        <w:t>A</w:t>
      </w:r>
      <w:r w:rsidR="0008550D">
        <w:rPr>
          <w:rFonts w:cs="Arial"/>
          <w:b/>
          <w:sz w:val="32"/>
        </w:rPr>
        <w:t>F</w:t>
      </w:r>
      <w:r w:rsidRPr="00AD567E">
        <w:rPr>
          <w:rFonts w:cs="Arial"/>
          <w:b/>
          <w:sz w:val="32"/>
        </w:rPr>
        <w:t>)</w:t>
      </w:r>
    </w:p>
    <w:p w14:paraId="2E7A9656" w14:textId="77777777" w:rsidR="00AD567E" w:rsidRDefault="00AD567E" w:rsidP="00AD567E">
      <w:pPr>
        <w:pStyle w:val="RFlietext"/>
      </w:pPr>
    </w:p>
    <w:p w14:paraId="2FE62730" w14:textId="77777777" w:rsidR="00D561A1" w:rsidRPr="00AD567E" w:rsidRDefault="00807F50" w:rsidP="00AD567E">
      <w:pPr>
        <w:pStyle w:val="RFlietext"/>
      </w:pPr>
      <w:r w:rsidRPr="00AD567E">
        <w:t xml:space="preserve">Als </w:t>
      </w:r>
      <w:r w:rsidR="00D561A1" w:rsidRPr="00AD567E">
        <w:t xml:space="preserve">Begünstigter </w:t>
      </w:r>
      <w:r w:rsidRPr="00AD567E">
        <w:t xml:space="preserve">sind Sie an die Einhaltung der Vorschriften des öffentlichen Beschaffungswesens gebunden. Es sind Grundsätze wie Wettbewerb und Transparenz sowie insbesondere der Grundsatz der wirtschaftlichen und sparsamen Mittelverwendung (i.d.R. auf Basis von drei Angeboten) zu berücksichtigen. Das Vergabeverfahren soll sicherstellen, dass bei der Vergabe von öffentlichen Aufträgen ein faires Verfahren durchgeführt wird und das </w:t>
      </w:r>
      <w:r w:rsidRPr="00AD567E">
        <w:rPr>
          <w:u w:val="single"/>
        </w:rPr>
        <w:t>wirtschaftlichste</w:t>
      </w:r>
      <w:r w:rsidRPr="00AD567E">
        <w:t xml:space="preserve"> Angebot (bestes Preis-Leistungsverhältnis im Zusammenhang vorher festgelegter Auswahlkriterien) den Zuschlag erhält. </w:t>
      </w:r>
      <w:r w:rsidRPr="00AD567E">
        <w:rPr>
          <w:u w:val="single"/>
        </w:rPr>
        <w:t xml:space="preserve">Die Verpflichtungen ergeben sich für Sie, sofern Sie nicht ohnehin öffentlicher Auftraggeber </w:t>
      </w:r>
      <w:proofErr w:type="gramStart"/>
      <w:r w:rsidRPr="00AD567E">
        <w:rPr>
          <w:u w:val="single"/>
        </w:rPr>
        <w:t>sind,  aus</w:t>
      </w:r>
      <w:proofErr w:type="gramEnd"/>
      <w:r w:rsidRPr="00AD567E">
        <w:rPr>
          <w:u w:val="single"/>
        </w:rPr>
        <w:t xml:space="preserve"> entsprechenden Verweisen im Zuwendungsbescheid bzw. dessen Nebenbestim</w:t>
      </w:r>
      <w:r w:rsidR="005C1AF2">
        <w:rPr>
          <w:u w:val="single"/>
        </w:rPr>
        <w:t>mungen (</w:t>
      </w:r>
      <w:proofErr w:type="spellStart"/>
      <w:r w:rsidR="0008550D">
        <w:rPr>
          <w:u w:val="single"/>
        </w:rPr>
        <w:t>ANBest</w:t>
      </w:r>
      <w:proofErr w:type="spellEnd"/>
      <w:r w:rsidR="0008550D">
        <w:rPr>
          <w:u w:val="single"/>
        </w:rPr>
        <w:t>-EMF</w:t>
      </w:r>
      <w:r w:rsidR="00152B7B">
        <w:rPr>
          <w:u w:val="single"/>
        </w:rPr>
        <w:t>A</w:t>
      </w:r>
      <w:r w:rsidR="0008550D">
        <w:rPr>
          <w:u w:val="single"/>
        </w:rPr>
        <w:t>F</w:t>
      </w:r>
      <w:r w:rsidRPr="00AD567E">
        <w:rPr>
          <w:u w:val="single"/>
        </w:rPr>
        <w:t>)</w:t>
      </w:r>
      <w:r w:rsidRPr="00AD567E">
        <w:t>.</w:t>
      </w:r>
    </w:p>
    <w:p w14:paraId="2B7A38A3" w14:textId="77777777" w:rsidR="00AD567E" w:rsidRDefault="00AD567E" w:rsidP="00AD567E">
      <w:pPr>
        <w:pStyle w:val="RFlietext"/>
        <w:rPr>
          <w:b/>
        </w:rPr>
      </w:pPr>
    </w:p>
    <w:p w14:paraId="0ADB9F65" w14:textId="77777777" w:rsidR="00D561A1" w:rsidRPr="00AD567E" w:rsidRDefault="00807F50" w:rsidP="00AD567E">
      <w:pPr>
        <w:pStyle w:val="RFlietext"/>
        <w:rPr>
          <w:b/>
        </w:rPr>
      </w:pPr>
      <w:r w:rsidRPr="00AD567E">
        <w:rPr>
          <w:b/>
        </w:rPr>
        <w:t>Danach sind bei der Vergabe von Leistungen folgende Vorgaben zu beachten:</w:t>
      </w:r>
    </w:p>
    <w:p w14:paraId="267E9D2D" w14:textId="77777777" w:rsidR="00807F50" w:rsidRDefault="00234059" w:rsidP="00AD567E">
      <w:pPr>
        <w:pStyle w:val="RFlietext"/>
      </w:pPr>
      <w:r w:rsidRPr="00234059">
        <w:rPr>
          <w:b/>
          <w:u w:val="single"/>
        </w:rPr>
        <w:t xml:space="preserve">Der </w:t>
      </w:r>
      <w:proofErr w:type="spellStart"/>
      <w:r w:rsidRPr="00234059">
        <w:rPr>
          <w:b/>
          <w:u w:val="single"/>
        </w:rPr>
        <w:t>geschätze</w:t>
      </w:r>
      <w:proofErr w:type="spellEnd"/>
      <w:r w:rsidRPr="00234059">
        <w:rPr>
          <w:b/>
          <w:u w:val="single"/>
        </w:rPr>
        <w:t xml:space="preserve"> Auftragswert ohne Umsatzsteuer liegt unterhalb der Schwellenwerte des § 106 </w:t>
      </w:r>
      <w:proofErr w:type="gramStart"/>
      <w:r w:rsidRPr="00234059">
        <w:rPr>
          <w:b/>
          <w:u w:val="single"/>
        </w:rPr>
        <w:t>GWB :</w:t>
      </w:r>
      <w:proofErr w:type="gramEnd"/>
      <w:r w:rsidRPr="00234059">
        <w:rPr>
          <w:b/>
          <w:u w:val="single"/>
        </w:rPr>
        <w:t xml:space="preserve"> Sie </w:t>
      </w:r>
      <w:r w:rsidR="00807F50" w:rsidRPr="00AD567E">
        <w:t xml:space="preserve">Sie haben Aufträge unter dem Gesichtspunkt der Wirtschaftlichkeit und sparsamen Mittelverwendung auf der Grundlage mehrerer dokumentierter Angebote (i.d.R. drei </w:t>
      </w:r>
      <w:r w:rsidR="00807F50" w:rsidRPr="00AD567E">
        <w:rPr>
          <w:b/>
        </w:rPr>
        <w:t>Vergleichsangebote</w:t>
      </w:r>
      <w:r w:rsidR="00807F50" w:rsidRPr="00AD567E">
        <w:t xml:space="preserve">) zu vergeben. Sie können sich dafür ebenfalls an den nachfolgenden Hinweisen orientieren. Achtung: diese Vereinfachung gilt </w:t>
      </w:r>
      <w:r w:rsidR="00807F50" w:rsidRPr="00AD567E">
        <w:rPr>
          <w:u w:val="single"/>
        </w:rPr>
        <w:t>nicht</w:t>
      </w:r>
      <w:r w:rsidR="00807F50" w:rsidRPr="00AD567E">
        <w:t xml:space="preserve"> für </w:t>
      </w:r>
      <w:r w:rsidR="00807F50" w:rsidRPr="00AD567E">
        <w:rPr>
          <w:b/>
        </w:rPr>
        <w:t>öffentliche Auftraggeber</w:t>
      </w:r>
      <w:r w:rsidR="00807F50" w:rsidRPr="00AD567E">
        <w:rPr>
          <w:rStyle w:val="Funotenzeichen"/>
          <w:szCs w:val="22"/>
        </w:rPr>
        <w:footnoteReference w:id="1"/>
      </w:r>
      <w:r w:rsidR="00807F50" w:rsidRPr="00AD567E">
        <w:t>.</w:t>
      </w:r>
    </w:p>
    <w:p w14:paraId="6260A15F" w14:textId="77777777" w:rsidR="00A66187" w:rsidRDefault="00A66187" w:rsidP="00AD567E">
      <w:pPr>
        <w:pStyle w:val="RFlietext"/>
      </w:pPr>
    </w:p>
    <w:p w14:paraId="301BAFCA" w14:textId="77777777" w:rsidR="00A66187" w:rsidRDefault="00A66187" w:rsidP="00AD567E">
      <w:pPr>
        <w:pStyle w:val="RFlietext"/>
      </w:pPr>
    </w:p>
    <w:p w14:paraId="31339454" w14:textId="77777777" w:rsidR="00A66187" w:rsidRDefault="00A66187" w:rsidP="00AD567E">
      <w:pPr>
        <w:pStyle w:val="RFlietext"/>
        <w:rPr>
          <w:b/>
          <w:szCs w:val="22"/>
        </w:rPr>
      </w:pPr>
    </w:p>
    <w:p w14:paraId="22CE19FB" w14:textId="77777777" w:rsidR="00AD567E" w:rsidRPr="00AD567E" w:rsidRDefault="00AD567E" w:rsidP="00AD567E">
      <w:pPr>
        <w:pStyle w:val="RFlietext"/>
      </w:pPr>
    </w:p>
    <w:p w14:paraId="57C78641" w14:textId="77777777" w:rsidR="00807F50" w:rsidRPr="00AD567E" w:rsidRDefault="00234059" w:rsidP="00AD567E">
      <w:pPr>
        <w:pStyle w:val="RFlietext"/>
      </w:pPr>
      <w:r>
        <w:rPr>
          <w:b/>
          <w:u w:val="single"/>
        </w:rPr>
        <w:t xml:space="preserve">Vorgaben für </w:t>
      </w:r>
      <w:r w:rsidR="00807F50" w:rsidRPr="00234059">
        <w:rPr>
          <w:b/>
          <w:u w:val="single"/>
        </w:rPr>
        <w:t xml:space="preserve">öffentliche </w:t>
      </w:r>
      <w:r w:rsidR="00807F50" w:rsidRPr="00234059">
        <w:rPr>
          <w:b/>
          <w:u w:val="thick"/>
        </w:rPr>
        <w:t>Auftraggeber</w:t>
      </w:r>
      <w:r w:rsidR="00807F50" w:rsidRPr="00451C20">
        <w:rPr>
          <w:rStyle w:val="Funotenzeichen"/>
          <w:szCs w:val="22"/>
          <w:u w:val="thick"/>
        </w:rPr>
        <w:footnoteReference w:id="2"/>
      </w:r>
      <w:r w:rsidR="00807F50" w:rsidRPr="00451C20">
        <w:rPr>
          <w:u w:val="thick"/>
        </w:rPr>
        <w:t>:</w:t>
      </w:r>
      <w:r w:rsidR="00807F50" w:rsidRPr="00AD567E">
        <w:t xml:space="preserve"> Sie haben Abschnitt 2 des </w:t>
      </w:r>
      <w:proofErr w:type="spellStart"/>
      <w:r w:rsidR="00807F50" w:rsidRPr="00AD567E">
        <w:t>BremTtVG</w:t>
      </w:r>
      <w:proofErr w:type="spellEnd"/>
      <w:r w:rsidR="00807F50" w:rsidRPr="00AD567E">
        <w:t xml:space="preserve"> anzuwenden:</w:t>
      </w:r>
    </w:p>
    <w:p w14:paraId="1C763DD0" w14:textId="77777777" w:rsidR="00451C20" w:rsidRDefault="00451C20" w:rsidP="00451C20">
      <w:pPr>
        <w:pStyle w:val="Listenabsatz"/>
        <w:spacing w:after="200" w:line="360" w:lineRule="auto"/>
        <w:rPr>
          <w:rFonts w:cs="Arial"/>
          <w:sz w:val="22"/>
          <w:szCs w:val="22"/>
        </w:rPr>
      </w:pPr>
    </w:p>
    <w:p w14:paraId="7F2E1200" w14:textId="1116F2C8" w:rsidR="00807F50" w:rsidRPr="00AD567E" w:rsidRDefault="00807F50" w:rsidP="009D2C4E">
      <w:pPr>
        <w:pStyle w:val="Listenabsatz"/>
        <w:numPr>
          <w:ilvl w:val="0"/>
          <w:numId w:val="14"/>
        </w:numPr>
        <w:spacing w:after="200" w:line="360" w:lineRule="auto"/>
        <w:rPr>
          <w:rFonts w:cs="Arial"/>
          <w:sz w:val="22"/>
          <w:szCs w:val="22"/>
        </w:rPr>
      </w:pPr>
      <w:r w:rsidRPr="00AD567E">
        <w:rPr>
          <w:rFonts w:cs="Arial"/>
          <w:sz w:val="22"/>
          <w:szCs w:val="22"/>
        </w:rPr>
        <w:lastRenderedPageBreak/>
        <w:t xml:space="preserve">Liefer- und </w:t>
      </w:r>
      <w:r w:rsidR="000F7F4D">
        <w:rPr>
          <w:rFonts w:cs="Arial"/>
          <w:sz w:val="22"/>
          <w:szCs w:val="22"/>
        </w:rPr>
        <w:t xml:space="preserve">gewerbliche </w:t>
      </w:r>
      <w:r w:rsidRPr="00AD567E">
        <w:rPr>
          <w:rFonts w:cs="Arial"/>
          <w:sz w:val="22"/>
          <w:szCs w:val="22"/>
        </w:rPr>
        <w:t xml:space="preserve">Dienstleistungen mit einem geschätzten Netto-Auftragswert von </w:t>
      </w:r>
      <w:r w:rsidRPr="00AD567E">
        <w:rPr>
          <w:rFonts w:cs="Arial"/>
          <w:b/>
          <w:sz w:val="22"/>
          <w:szCs w:val="22"/>
        </w:rPr>
        <w:t>bis zu</w:t>
      </w:r>
      <w:r w:rsidRPr="00AD567E">
        <w:rPr>
          <w:rFonts w:cs="Arial"/>
          <w:sz w:val="22"/>
          <w:szCs w:val="22"/>
        </w:rPr>
        <w:t xml:space="preserve"> </w:t>
      </w:r>
      <w:r w:rsidR="000F7F4D">
        <w:rPr>
          <w:rFonts w:cs="Arial"/>
          <w:sz w:val="22"/>
          <w:szCs w:val="22"/>
        </w:rPr>
        <w:t>3</w:t>
      </w:r>
      <w:r w:rsidR="00234059" w:rsidRPr="00234059">
        <w:rPr>
          <w:rFonts w:cs="Arial"/>
          <w:b/>
          <w:sz w:val="22"/>
          <w:szCs w:val="22"/>
        </w:rPr>
        <w:t>0</w:t>
      </w:r>
      <w:r w:rsidRPr="00234059">
        <w:rPr>
          <w:rFonts w:cs="Arial"/>
          <w:b/>
          <w:sz w:val="22"/>
          <w:szCs w:val="22"/>
        </w:rPr>
        <w:t>00,- €</w:t>
      </w:r>
      <w:r w:rsidRPr="00AD567E">
        <w:rPr>
          <w:rFonts w:cs="Arial"/>
          <w:sz w:val="22"/>
          <w:szCs w:val="22"/>
        </w:rPr>
        <w:t xml:space="preserve"> können ohne </w:t>
      </w:r>
      <w:r w:rsidR="006E2C7C" w:rsidRPr="006E2C7C">
        <w:rPr>
          <w:rFonts w:cs="Arial"/>
          <w:sz w:val="22"/>
          <w:szCs w:val="22"/>
        </w:rPr>
        <w:t xml:space="preserve">Durchführung </w:t>
      </w:r>
      <w:r w:rsidR="006E2C7C">
        <w:rPr>
          <w:rFonts w:cs="Arial"/>
          <w:sz w:val="22"/>
          <w:szCs w:val="22"/>
        </w:rPr>
        <w:t>eines Vergabeverfahrens mit meh</w:t>
      </w:r>
      <w:r w:rsidR="006E2C7C" w:rsidRPr="006E2C7C">
        <w:rPr>
          <w:rFonts w:cs="Arial"/>
          <w:sz w:val="22"/>
          <w:szCs w:val="22"/>
        </w:rPr>
        <w:t>rer</w:t>
      </w:r>
      <w:r w:rsidR="006E2C7C">
        <w:rPr>
          <w:rFonts w:cs="Arial"/>
          <w:sz w:val="22"/>
          <w:szCs w:val="22"/>
        </w:rPr>
        <w:t>e</w:t>
      </w:r>
      <w:r w:rsidR="006E2C7C" w:rsidRPr="006E2C7C">
        <w:rPr>
          <w:rFonts w:cs="Arial"/>
          <w:sz w:val="22"/>
          <w:szCs w:val="22"/>
        </w:rPr>
        <w:t xml:space="preserve">n Bietern </w:t>
      </w:r>
      <w:r w:rsidRPr="00AD567E">
        <w:rPr>
          <w:rFonts w:cs="Arial"/>
          <w:sz w:val="22"/>
          <w:szCs w:val="22"/>
        </w:rPr>
        <w:t>Vergabeverfahren beschafft werden (Direktkauf). Es ist auf Wirtschaftlichkeit und Sparsamkeit zu achten, eine Einholung von Vergleichsangeboten ist nicht erforderlich</w:t>
      </w:r>
      <w:r w:rsidRPr="00AD567E">
        <w:rPr>
          <w:rStyle w:val="Funotenzeichen"/>
          <w:rFonts w:cs="Arial"/>
          <w:sz w:val="22"/>
          <w:szCs w:val="22"/>
        </w:rPr>
        <w:footnoteReference w:id="3"/>
      </w:r>
      <w:r w:rsidRPr="00AD567E">
        <w:rPr>
          <w:rFonts w:cs="Arial"/>
          <w:sz w:val="22"/>
          <w:szCs w:val="22"/>
        </w:rPr>
        <w:t>.</w:t>
      </w:r>
      <w:r w:rsidR="000F7F4D" w:rsidRPr="000F7F4D">
        <w:t xml:space="preserve"> </w:t>
      </w:r>
      <w:r w:rsidR="000F7F4D" w:rsidRPr="000F7F4D">
        <w:rPr>
          <w:rFonts w:cs="Arial"/>
          <w:sz w:val="22"/>
          <w:szCs w:val="22"/>
        </w:rPr>
        <w:t>Freiberufliche Dienstleistungen und ebenso Bauleistungen mit einem geschätzten Netto-Auftragswert bis zu 5000 € können ebenfalls ohne Einholung von Vergleichsangeboten beschafft werden</w:t>
      </w:r>
      <w:r w:rsidR="009D2C4E">
        <w:rPr>
          <w:rFonts w:cs="Arial"/>
          <w:sz w:val="22"/>
          <w:szCs w:val="22"/>
        </w:rPr>
        <w:t>.</w:t>
      </w:r>
      <w:r w:rsidR="009D2C4E" w:rsidRPr="009D2C4E">
        <w:t xml:space="preserve"> </w:t>
      </w:r>
      <w:r w:rsidR="009D2C4E" w:rsidRPr="009D2C4E">
        <w:rPr>
          <w:rFonts w:cs="Arial"/>
          <w:sz w:val="22"/>
          <w:szCs w:val="22"/>
        </w:rPr>
        <w:t xml:space="preserve">Ob es sich um eine freiberufliche Leistung im Sinne des Vergaberechts handelt, ist jedoch im Einzelfall genau zu prüfen und zu </w:t>
      </w:r>
      <w:proofErr w:type="gramStart"/>
      <w:r w:rsidR="009D2C4E" w:rsidRPr="009D2C4E">
        <w:rPr>
          <w:rFonts w:cs="Arial"/>
          <w:sz w:val="22"/>
          <w:szCs w:val="22"/>
        </w:rPr>
        <w:t>dokumentieren .</w:t>
      </w:r>
      <w:proofErr w:type="gramEnd"/>
    </w:p>
    <w:p w14:paraId="2990C70D" w14:textId="77777777" w:rsidR="006E2C7C" w:rsidRDefault="000F7F4D" w:rsidP="00AD567E">
      <w:pPr>
        <w:pStyle w:val="Listenabsatz"/>
        <w:numPr>
          <w:ilvl w:val="0"/>
          <w:numId w:val="14"/>
        </w:numPr>
        <w:spacing w:after="200" w:line="360" w:lineRule="auto"/>
        <w:rPr>
          <w:rFonts w:cs="Arial"/>
          <w:sz w:val="22"/>
          <w:szCs w:val="22"/>
        </w:rPr>
      </w:pPr>
      <w:r w:rsidRPr="000F7F4D">
        <w:rPr>
          <w:rFonts w:cs="Arial"/>
          <w:sz w:val="22"/>
          <w:szCs w:val="22"/>
        </w:rPr>
        <w:t xml:space="preserve">Liefer- sowie gewerbliche Dienstleistungen mit einem Auftragswert ab 3000 € bis zu 49.900 € können gemäß § 5 Abs. 1 </w:t>
      </w:r>
      <w:proofErr w:type="spellStart"/>
      <w:r w:rsidRPr="000F7F4D">
        <w:rPr>
          <w:rFonts w:cs="Arial"/>
          <w:sz w:val="22"/>
          <w:szCs w:val="22"/>
        </w:rPr>
        <w:t>TtVG</w:t>
      </w:r>
      <w:proofErr w:type="spellEnd"/>
      <w:r w:rsidRPr="000F7F4D">
        <w:rPr>
          <w:rFonts w:cs="Arial"/>
          <w:sz w:val="22"/>
          <w:szCs w:val="22"/>
        </w:rPr>
        <w:t xml:space="preserve"> durch Einholung von Vergleichsangeboten vergeben werden. Bauleistungen mit einem Auftragswert ab 5000 € bis zu einem Auftragswert von 49.999 € können ebenfalls gemäß § 5 Abs. 1 </w:t>
      </w:r>
      <w:proofErr w:type="spellStart"/>
      <w:r w:rsidRPr="000F7F4D">
        <w:rPr>
          <w:rFonts w:cs="Arial"/>
          <w:sz w:val="22"/>
          <w:szCs w:val="22"/>
        </w:rPr>
        <w:t>TtVG</w:t>
      </w:r>
      <w:proofErr w:type="spellEnd"/>
      <w:r w:rsidRPr="000F7F4D">
        <w:rPr>
          <w:rFonts w:cs="Arial"/>
          <w:sz w:val="22"/>
          <w:szCs w:val="22"/>
        </w:rPr>
        <w:t xml:space="preserve"> durch Einholung von Vergleichsangeboten vergeben werden.  Freiberufliche Dienstleistungen mit einem Auftragswert ab 5000 € bis zu 220.999 € (Geltung dieses letztgenannten Schwellenwerts ab 1.1.2024 bis 31.12.2026) können ebenfalls durch Einholung von Vergleichsangeboten vergeben werden. Ausnahmen von diesem Grundsatz sind in § 5 Abs. 2 </w:t>
      </w:r>
      <w:proofErr w:type="spellStart"/>
      <w:r w:rsidRPr="000F7F4D">
        <w:rPr>
          <w:rFonts w:cs="Arial"/>
          <w:sz w:val="22"/>
          <w:szCs w:val="22"/>
        </w:rPr>
        <w:t>TtVG</w:t>
      </w:r>
      <w:proofErr w:type="spellEnd"/>
      <w:r w:rsidRPr="000F7F4D">
        <w:rPr>
          <w:rFonts w:cs="Arial"/>
          <w:sz w:val="22"/>
          <w:szCs w:val="22"/>
        </w:rPr>
        <w:t xml:space="preserve"> geregelt und sind im Einzelfal</w:t>
      </w:r>
      <w:r w:rsidR="006E2C7C">
        <w:rPr>
          <w:rFonts w:cs="Arial"/>
          <w:sz w:val="22"/>
          <w:szCs w:val="22"/>
        </w:rPr>
        <w:t>l zu prüfen.</w:t>
      </w:r>
      <w:r w:rsidR="00807F50" w:rsidRPr="00AD567E">
        <w:rPr>
          <w:rStyle w:val="Funotenzeichen"/>
          <w:rFonts w:cs="Arial"/>
          <w:sz w:val="22"/>
          <w:szCs w:val="22"/>
        </w:rPr>
        <w:footnoteReference w:id="4"/>
      </w:r>
      <w:r w:rsidR="006E2C7C">
        <w:rPr>
          <w:rFonts w:cs="Arial"/>
          <w:sz w:val="22"/>
          <w:szCs w:val="22"/>
        </w:rPr>
        <w:t xml:space="preserve"> </w:t>
      </w:r>
    </w:p>
    <w:p w14:paraId="28F34243" w14:textId="73CA0E3A" w:rsidR="00807F50" w:rsidRPr="00AD567E" w:rsidRDefault="006E2C7C" w:rsidP="00AD567E">
      <w:pPr>
        <w:pStyle w:val="Listenabsatz"/>
        <w:numPr>
          <w:ilvl w:val="0"/>
          <w:numId w:val="14"/>
        </w:numPr>
        <w:spacing w:after="200" w:line="360" w:lineRule="auto"/>
        <w:rPr>
          <w:rFonts w:cs="Arial"/>
          <w:sz w:val="22"/>
          <w:szCs w:val="22"/>
        </w:rPr>
      </w:pPr>
      <w:r>
        <w:rPr>
          <w:rFonts w:cs="Arial"/>
          <w:sz w:val="22"/>
          <w:szCs w:val="22"/>
        </w:rPr>
        <w:t xml:space="preserve"> Bauleistungen sowie Liefer- und gewerbliche </w:t>
      </w:r>
      <w:r w:rsidR="00AD567E">
        <w:rPr>
          <w:rFonts w:cs="Arial"/>
          <w:sz w:val="22"/>
          <w:szCs w:val="22"/>
        </w:rPr>
        <w:t>D</w:t>
      </w:r>
      <w:r w:rsidR="00D561A1" w:rsidRPr="00AD567E">
        <w:rPr>
          <w:rFonts w:cs="Arial"/>
          <w:sz w:val="22"/>
          <w:szCs w:val="22"/>
        </w:rPr>
        <w:t>ienstl</w:t>
      </w:r>
      <w:r w:rsidR="00807F50" w:rsidRPr="00AD567E">
        <w:rPr>
          <w:rFonts w:cs="Arial"/>
          <w:sz w:val="22"/>
          <w:szCs w:val="22"/>
        </w:rPr>
        <w:t xml:space="preserve">eistungen </w:t>
      </w:r>
      <w:r>
        <w:rPr>
          <w:rFonts w:cs="Arial"/>
          <w:sz w:val="22"/>
          <w:szCs w:val="22"/>
        </w:rPr>
        <w:t xml:space="preserve">ab einem </w:t>
      </w:r>
      <w:r w:rsidR="00807F50" w:rsidRPr="00AD567E">
        <w:rPr>
          <w:rFonts w:cs="Arial"/>
          <w:sz w:val="22"/>
          <w:szCs w:val="22"/>
        </w:rPr>
        <w:t xml:space="preserve">geschätzten Netto-Auftragswert </w:t>
      </w:r>
      <w:r w:rsidR="00807F50" w:rsidRPr="00AD567E">
        <w:rPr>
          <w:rFonts w:cs="Arial"/>
          <w:b/>
          <w:sz w:val="22"/>
          <w:szCs w:val="22"/>
        </w:rPr>
        <w:t>ab 50.000,- €:</w:t>
      </w:r>
    </w:p>
    <w:p w14:paraId="1741BEA3" w14:textId="6CEB97EF" w:rsidR="00807F50" w:rsidRDefault="00807F50" w:rsidP="00AD567E">
      <w:pPr>
        <w:pStyle w:val="Listenabsatz"/>
        <w:spacing w:line="360" w:lineRule="auto"/>
        <w:ind w:left="709"/>
        <w:rPr>
          <w:rFonts w:cs="Arial"/>
          <w:sz w:val="22"/>
          <w:szCs w:val="22"/>
        </w:rPr>
      </w:pPr>
      <w:r w:rsidRPr="00AD567E">
        <w:rPr>
          <w:rFonts w:cs="Arial"/>
          <w:sz w:val="22"/>
          <w:szCs w:val="22"/>
        </w:rPr>
        <w:t xml:space="preserve">Für diese Leistungen ist zunächst eine Einordnung in die vergaberechtlichen Leistungskategorien notwendig. </w:t>
      </w:r>
    </w:p>
    <w:p w14:paraId="2530AEF3" w14:textId="77777777" w:rsidR="006E2C7C" w:rsidRPr="00AD567E" w:rsidRDefault="006E2C7C" w:rsidP="00AD567E">
      <w:pPr>
        <w:pStyle w:val="Listenabsatz"/>
        <w:spacing w:line="360" w:lineRule="auto"/>
        <w:ind w:left="709"/>
        <w:rPr>
          <w:rFonts w:cs="Arial"/>
          <w:sz w:val="22"/>
          <w:szCs w:val="22"/>
        </w:rPr>
      </w:pPr>
    </w:p>
    <w:p w14:paraId="503B32D4" w14:textId="1A1DB9C3" w:rsidR="00807F50" w:rsidRPr="00AD567E" w:rsidRDefault="00807F50" w:rsidP="00AD567E">
      <w:pPr>
        <w:pStyle w:val="Listenabsatz"/>
        <w:numPr>
          <w:ilvl w:val="2"/>
          <w:numId w:val="17"/>
        </w:numPr>
        <w:spacing w:line="360" w:lineRule="auto"/>
        <w:ind w:left="1134"/>
        <w:rPr>
          <w:rFonts w:cs="Arial"/>
          <w:sz w:val="22"/>
          <w:szCs w:val="22"/>
        </w:rPr>
      </w:pPr>
      <w:r w:rsidRPr="00AD567E">
        <w:rPr>
          <w:rFonts w:cs="Arial"/>
          <w:sz w:val="22"/>
          <w:szCs w:val="22"/>
        </w:rPr>
        <w:t xml:space="preserve">Für Aufträge in der Kategorie </w:t>
      </w:r>
      <w:r w:rsidRPr="00AD567E">
        <w:rPr>
          <w:rFonts w:cs="Arial"/>
          <w:b/>
          <w:sz w:val="22"/>
          <w:szCs w:val="22"/>
        </w:rPr>
        <w:t>Bauleistung</w:t>
      </w:r>
      <w:r w:rsidRPr="00AD567E">
        <w:rPr>
          <w:rFonts w:cs="Arial"/>
          <w:sz w:val="22"/>
          <w:szCs w:val="22"/>
        </w:rPr>
        <w:t xml:space="preserve"> </w:t>
      </w:r>
      <w:r w:rsidR="00084231">
        <w:rPr>
          <w:rFonts w:cs="Arial"/>
          <w:sz w:val="22"/>
          <w:szCs w:val="22"/>
        </w:rPr>
        <w:t xml:space="preserve">bis zu einem Auftragswert von 499.999,- € </w:t>
      </w:r>
      <w:r w:rsidRPr="00AD567E">
        <w:rPr>
          <w:rFonts w:cs="Arial"/>
          <w:sz w:val="22"/>
          <w:szCs w:val="22"/>
        </w:rPr>
        <w:t>ist die Vergabe nach VOB/A durchzuführen, sie kann jedoch ohne weitere Begründung im Wege einer beschränkten Ausschreibung</w:t>
      </w:r>
      <w:r w:rsidR="006E2C7C">
        <w:rPr>
          <w:rFonts w:cs="Arial"/>
          <w:sz w:val="22"/>
          <w:szCs w:val="22"/>
        </w:rPr>
        <w:t xml:space="preserve"> ohne Teilnahmewettbewerb</w:t>
      </w:r>
      <w:r w:rsidRPr="00AD567E">
        <w:rPr>
          <w:rFonts w:cs="Arial"/>
          <w:sz w:val="22"/>
          <w:szCs w:val="22"/>
        </w:rPr>
        <w:t xml:space="preserve"> erfolgen.</w:t>
      </w:r>
    </w:p>
    <w:p w14:paraId="0A19D107" w14:textId="77777777" w:rsidR="00807F50" w:rsidRPr="00AD567E" w:rsidRDefault="00807F50" w:rsidP="00AD567E">
      <w:pPr>
        <w:pStyle w:val="Listenabsatz"/>
        <w:numPr>
          <w:ilvl w:val="2"/>
          <w:numId w:val="17"/>
        </w:numPr>
        <w:spacing w:line="360" w:lineRule="auto"/>
        <w:ind w:left="1134"/>
        <w:rPr>
          <w:rFonts w:cs="Arial"/>
          <w:sz w:val="22"/>
          <w:szCs w:val="22"/>
        </w:rPr>
      </w:pPr>
      <w:r w:rsidRPr="00AD567E">
        <w:rPr>
          <w:rFonts w:cs="Arial"/>
          <w:sz w:val="22"/>
          <w:szCs w:val="22"/>
        </w:rPr>
        <w:t>Ab einem Auftragswert von 500.000,- €</w:t>
      </w:r>
      <w:r w:rsidR="00084231">
        <w:rPr>
          <w:rFonts w:cs="Arial"/>
          <w:sz w:val="22"/>
          <w:szCs w:val="22"/>
        </w:rPr>
        <w:t xml:space="preserve"> bis zu einem Auftragswert von 5.</w:t>
      </w:r>
      <w:r w:rsidR="00A66187">
        <w:rPr>
          <w:rFonts w:cs="Arial"/>
          <w:sz w:val="22"/>
          <w:szCs w:val="22"/>
        </w:rPr>
        <w:t>537.</w:t>
      </w:r>
      <w:r w:rsidR="00084231">
        <w:rPr>
          <w:rFonts w:cs="Arial"/>
          <w:sz w:val="22"/>
          <w:szCs w:val="22"/>
        </w:rPr>
        <w:t>999,- €</w:t>
      </w:r>
      <w:r w:rsidRPr="00AD567E">
        <w:rPr>
          <w:rFonts w:cs="Arial"/>
          <w:sz w:val="22"/>
          <w:szCs w:val="22"/>
        </w:rPr>
        <w:t xml:space="preserve"> sind uneingeschränkt die Bestimmung</w:t>
      </w:r>
      <w:r w:rsidR="00EE466E">
        <w:rPr>
          <w:rFonts w:cs="Arial"/>
          <w:sz w:val="22"/>
          <w:szCs w:val="22"/>
        </w:rPr>
        <w:t>en</w:t>
      </w:r>
      <w:r w:rsidRPr="00AD567E">
        <w:rPr>
          <w:rFonts w:cs="Arial"/>
          <w:sz w:val="22"/>
          <w:szCs w:val="22"/>
        </w:rPr>
        <w:t xml:space="preserve"> der VOB/A anzuwenden</w:t>
      </w:r>
      <w:r w:rsidRPr="00AD567E">
        <w:rPr>
          <w:rStyle w:val="Funotenzeichen"/>
          <w:rFonts w:cs="Arial"/>
          <w:sz w:val="22"/>
          <w:szCs w:val="22"/>
        </w:rPr>
        <w:footnoteReference w:id="5"/>
      </w:r>
      <w:r w:rsidRPr="00AD567E">
        <w:rPr>
          <w:rFonts w:cs="Arial"/>
          <w:sz w:val="22"/>
          <w:szCs w:val="22"/>
        </w:rPr>
        <w:t xml:space="preserve">. </w:t>
      </w:r>
    </w:p>
    <w:p w14:paraId="1B749D23" w14:textId="1F05E26B" w:rsidR="00AD567E" w:rsidRDefault="00807F50" w:rsidP="00AD567E">
      <w:pPr>
        <w:pStyle w:val="Listenabsatz"/>
        <w:numPr>
          <w:ilvl w:val="2"/>
          <w:numId w:val="17"/>
        </w:numPr>
        <w:spacing w:line="360" w:lineRule="auto"/>
        <w:ind w:left="1134"/>
        <w:rPr>
          <w:rFonts w:cs="Arial"/>
          <w:sz w:val="22"/>
          <w:szCs w:val="22"/>
        </w:rPr>
      </w:pPr>
      <w:r w:rsidRPr="00AD567E">
        <w:rPr>
          <w:rFonts w:cs="Arial"/>
          <w:sz w:val="22"/>
          <w:szCs w:val="22"/>
        </w:rPr>
        <w:t xml:space="preserve">Für Aufträge in der Kategorie </w:t>
      </w:r>
      <w:r w:rsidRPr="00AD567E">
        <w:rPr>
          <w:rFonts w:cs="Arial"/>
          <w:b/>
          <w:sz w:val="22"/>
          <w:szCs w:val="22"/>
        </w:rPr>
        <w:t>Liefer-/</w:t>
      </w:r>
      <w:r w:rsidR="006E2C7C">
        <w:rPr>
          <w:rFonts w:cs="Arial"/>
          <w:b/>
          <w:sz w:val="22"/>
          <w:szCs w:val="22"/>
        </w:rPr>
        <w:t xml:space="preserve"> gewerbliche </w:t>
      </w:r>
      <w:r w:rsidRPr="00AD567E">
        <w:rPr>
          <w:rFonts w:cs="Arial"/>
          <w:b/>
          <w:sz w:val="22"/>
          <w:szCs w:val="22"/>
        </w:rPr>
        <w:t>Dienstleistungen</w:t>
      </w:r>
      <w:r w:rsidR="00084231">
        <w:rPr>
          <w:rFonts w:cs="Arial"/>
          <w:b/>
          <w:sz w:val="22"/>
          <w:szCs w:val="22"/>
        </w:rPr>
        <w:t xml:space="preserve"> </w:t>
      </w:r>
      <w:r w:rsidR="00084231" w:rsidRPr="00084231">
        <w:rPr>
          <w:rFonts w:cs="Arial"/>
          <w:sz w:val="22"/>
          <w:szCs w:val="22"/>
        </w:rPr>
        <w:t xml:space="preserve">bis zu einem Auftragswert von </w:t>
      </w:r>
      <w:proofErr w:type="gramStart"/>
      <w:r w:rsidR="00084231" w:rsidRPr="00084231">
        <w:rPr>
          <w:rFonts w:cs="Arial"/>
          <w:sz w:val="22"/>
          <w:szCs w:val="22"/>
        </w:rPr>
        <w:t>99.999,-</w:t>
      </w:r>
      <w:proofErr w:type="gramEnd"/>
      <w:r w:rsidR="00084231" w:rsidRPr="00084231">
        <w:rPr>
          <w:rFonts w:cs="Arial"/>
          <w:sz w:val="22"/>
          <w:szCs w:val="22"/>
        </w:rPr>
        <w:t xml:space="preserve"> € </w:t>
      </w:r>
      <w:r w:rsidR="006E2C7C">
        <w:rPr>
          <w:rFonts w:cs="Arial"/>
          <w:sz w:val="22"/>
          <w:szCs w:val="22"/>
        </w:rPr>
        <w:t xml:space="preserve"> ist die Vergabe nach </w:t>
      </w:r>
      <w:r w:rsidR="009D2C4E">
        <w:rPr>
          <w:rFonts w:cs="Arial"/>
          <w:sz w:val="22"/>
          <w:szCs w:val="22"/>
        </w:rPr>
        <w:t>VOL/</w:t>
      </w:r>
      <w:proofErr w:type="spellStart"/>
      <w:r w:rsidR="006E2C7C">
        <w:rPr>
          <w:rFonts w:cs="Arial"/>
          <w:sz w:val="22"/>
          <w:szCs w:val="22"/>
        </w:rPr>
        <w:t>UVgO</w:t>
      </w:r>
      <w:proofErr w:type="spellEnd"/>
      <w:r w:rsidRPr="00084231">
        <w:rPr>
          <w:rFonts w:cs="Arial"/>
          <w:sz w:val="22"/>
          <w:szCs w:val="22"/>
        </w:rPr>
        <w:t xml:space="preserve"> durchzuführen</w:t>
      </w:r>
      <w:r w:rsidRPr="00AD567E">
        <w:rPr>
          <w:rFonts w:cs="Arial"/>
          <w:sz w:val="22"/>
          <w:szCs w:val="22"/>
        </w:rPr>
        <w:t>, sie kann jedoch ohne weitere Begründung im Wege einer besch</w:t>
      </w:r>
      <w:r w:rsidR="00AD567E">
        <w:rPr>
          <w:rFonts w:cs="Arial"/>
          <w:sz w:val="22"/>
          <w:szCs w:val="22"/>
        </w:rPr>
        <w:t>ränkten Ausschreibung</w:t>
      </w:r>
      <w:r w:rsidR="006E2C7C">
        <w:rPr>
          <w:rFonts w:cs="Arial"/>
          <w:sz w:val="22"/>
          <w:szCs w:val="22"/>
        </w:rPr>
        <w:t xml:space="preserve"> ohne Teilnahmewettbewerb</w:t>
      </w:r>
      <w:r w:rsidR="00AD567E">
        <w:rPr>
          <w:rFonts w:cs="Arial"/>
          <w:sz w:val="22"/>
          <w:szCs w:val="22"/>
        </w:rPr>
        <w:t xml:space="preserve"> erfolgen.</w:t>
      </w:r>
    </w:p>
    <w:p w14:paraId="63BD05E7" w14:textId="23D4C066" w:rsidR="00807F50" w:rsidRPr="00AD567E" w:rsidRDefault="00807F50" w:rsidP="00AD567E">
      <w:pPr>
        <w:pStyle w:val="Listenabsatz"/>
        <w:numPr>
          <w:ilvl w:val="2"/>
          <w:numId w:val="17"/>
        </w:numPr>
        <w:spacing w:line="360" w:lineRule="auto"/>
        <w:ind w:left="1134"/>
        <w:rPr>
          <w:rFonts w:cs="Arial"/>
          <w:sz w:val="22"/>
          <w:szCs w:val="22"/>
        </w:rPr>
      </w:pPr>
      <w:r w:rsidRPr="00AD567E">
        <w:rPr>
          <w:rFonts w:cs="Arial"/>
          <w:sz w:val="22"/>
          <w:szCs w:val="22"/>
        </w:rPr>
        <w:lastRenderedPageBreak/>
        <w:t>Ab einem Auftragswert von 100.000,- €</w:t>
      </w:r>
      <w:r w:rsidR="00084231">
        <w:rPr>
          <w:rFonts w:cs="Arial"/>
          <w:sz w:val="22"/>
          <w:szCs w:val="22"/>
        </w:rPr>
        <w:t xml:space="preserve"> bis zu 2</w:t>
      </w:r>
      <w:r w:rsidR="00C671E6">
        <w:rPr>
          <w:rFonts w:cs="Arial"/>
          <w:sz w:val="22"/>
          <w:szCs w:val="22"/>
        </w:rPr>
        <w:t>20.999</w:t>
      </w:r>
      <w:r w:rsidR="00084231">
        <w:rPr>
          <w:rFonts w:cs="Arial"/>
          <w:sz w:val="22"/>
          <w:szCs w:val="22"/>
        </w:rPr>
        <w:t xml:space="preserve">,- </w:t>
      </w:r>
      <w:r w:rsidRPr="00AD567E">
        <w:rPr>
          <w:rFonts w:cs="Arial"/>
          <w:sz w:val="22"/>
          <w:szCs w:val="22"/>
        </w:rPr>
        <w:t xml:space="preserve"> sind uneingeschränkt die Bestimmung</w:t>
      </w:r>
      <w:r w:rsidR="00EE466E">
        <w:rPr>
          <w:rFonts w:cs="Arial"/>
          <w:sz w:val="22"/>
          <w:szCs w:val="22"/>
        </w:rPr>
        <w:t>en</w:t>
      </w:r>
      <w:r w:rsidRPr="00AD567E">
        <w:rPr>
          <w:rFonts w:cs="Arial"/>
          <w:sz w:val="22"/>
          <w:szCs w:val="22"/>
        </w:rPr>
        <w:t xml:space="preserve"> der </w:t>
      </w:r>
      <w:proofErr w:type="spellStart"/>
      <w:r w:rsidR="009D2C4E">
        <w:rPr>
          <w:rFonts w:cs="Arial"/>
          <w:sz w:val="22"/>
          <w:szCs w:val="22"/>
        </w:rPr>
        <w:t>UVgO</w:t>
      </w:r>
      <w:proofErr w:type="spellEnd"/>
      <w:r w:rsidRPr="00AD567E">
        <w:rPr>
          <w:rFonts w:cs="Arial"/>
          <w:sz w:val="22"/>
          <w:szCs w:val="22"/>
        </w:rPr>
        <w:t xml:space="preserve"> anzuwenden</w:t>
      </w:r>
      <w:r w:rsidRPr="00AD567E">
        <w:rPr>
          <w:rStyle w:val="Funotenzeichen"/>
          <w:rFonts w:cs="Arial"/>
          <w:sz w:val="22"/>
          <w:szCs w:val="22"/>
        </w:rPr>
        <w:footnoteReference w:id="6"/>
      </w:r>
      <w:r w:rsidRPr="00AD567E">
        <w:rPr>
          <w:rFonts w:cs="Arial"/>
          <w:sz w:val="22"/>
          <w:szCs w:val="22"/>
        </w:rPr>
        <w:t xml:space="preserve">. </w:t>
      </w:r>
    </w:p>
    <w:p w14:paraId="228D19B7" w14:textId="0A347131" w:rsidR="00807F50" w:rsidRPr="00AD567E" w:rsidRDefault="009D2C4E" w:rsidP="00AD567E">
      <w:pPr>
        <w:pStyle w:val="Listenabsatz"/>
        <w:spacing w:line="360" w:lineRule="auto"/>
        <w:ind w:left="2520"/>
        <w:rPr>
          <w:rFonts w:cs="Arial"/>
          <w:sz w:val="22"/>
          <w:szCs w:val="22"/>
        </w:rPr>
      </w:pPr>
      <w:r>
        <w:rPr>
          <w:rFonts w:cs="Arial"/>
          <w:sz w:val="22"/>
          <w:szCs w:val="22"/>
        </w:rPr>
        <w:t xml:space="preserve"> </w:t>
      </w:r>
    </w:p>
    <w:p w14:paraId="1A20388E" w14:textId="77777777" w:rsidR="00807F50" w:rsidRPr="00AD567E" w:rsidRDefault="00807F50" w:rsidP="00AD567E">
      <w:pPr>
        <w:pStyle w:val="Listenabsatz"/>
        <w:numPr>
          <w:ilvl w:val="0"/>
          <w:numId w:val="14"/>
        </w:numPr>
        <w:spacing w:after="200" w:line="360" w:lineRule="auto"/>
        <w:rPr>
          <w:rFonts w:cs="Arial"/>
          <w:sz w:val="22"/>
          <w:szCs w:val="22"/>
        </w:rPr>
      </w:pPr>
      <w:r w:rsidRPr="00AD567E">
        <w:rPr>
          <w:rFonts w:cs="Arial"/>
          <w:sz w:val="22"/>
          <w:szCs w:val="22"/>
        </w:rPr>
        <w:t xml:space="preserve">Leistungen mit einem geschätzten Netto-Auftragswert ab Erreichen der </w:t>
      </w:r>
      <w:r w:rsidRPr="00AD567E">
        <w:rPr>
          <w:rFonts w:cs="Arial"/>
          <w:b/>
          <w:sz w:val="22"/>
          <w:szCs w:val="22"/>
        </w:rPr>
        <w:t>EU-Schwellenwerte</w:t>
      </w:r>
      <w:r w:rsidRPr="00AD567E">
        <w:rPr>
          <w:rFonts w:cs="Arial"/>
          <w:sz w:val="22"/>
          <w:szCs w:val="22"/>
        </w:rPr>
        <w:t xml:space="preserve"> </w:t>
      </w:r>
      <w:r w:rsidRPr="00AD567E">
        <w:rPr>
          <w:rFonts w:cs="Arial"/>
          <w:color w:val="000000" w:themeColor="text1"/>
          <w:sz w:val="22"/>
          <w:szCs w:val="22"/>
        </w:rPr>
        <w:t>(das sind u.a. derzeit für Liefer-, Dienstleistungen inklusive d</w:t>
      </w:r>
      <w:r w:rsidR="00C671E6">
        <w:rPr>
          <w:rFonts w:cs="Arial"/>
          <w:color w:val="000000" w:themeColor="text1"/>
          <w:sz w:val="22"/>
          <w:szCs w:val="22"/>
        </w:rPr>
        <w:t>er freiberuflichen Leistungen 221.000</w:t>
      </w:r>
      <w:r w:rsidRPr="00AD567E">
        <w:rPr>
          <w:rFonts w:cs="Arial"/>
          <w:color w:val="000000" w:themeColor="text1"/>
          <w:sz w:val="22"/>
          <w:szCs w:val="22"/>
        </w:rPr>
        <w:t>,- € Netto-Auftragswert und für Bauaufträge 5.</w:t>
      </w:r>
      <w:r w:rsidR="00C671E6">
        <w:rPr>
          <w:rFonts w:cs="Arial"/>
          <w:color w:val="000000" w:themeColor="text1"/>
          <w:sz w:val="22"/>
          <w:szCs w:val="22"/>
        </w:rPr>
        <w:t>538.000</w:t>
      </w:r>
      <w:r w:rsidRPr="00AD567E">
        <w:rPr>
          <w:rFonts w:cs="Arial"/>
          <w:color w:val="000000" w:themeColor="text1"/>
          <w:sz w:val="22"/>
          <w:szCs w:val="22"/>
        </w:rPr>
        <w:t>,- € Netto-Auftragswert)</w:t>
      </w:r>
      <w:r w:rsidRPr="00AD567E">
        <w:rPr>
          <w:rFonts w:cs="Arial"/>
          <w:color w:val="FF0000"/>
          <w:sz w:val="22"/>
          <w:szCs w:val="22"/>
        </w:rPr>
        <w:t xml:space="preserve"> </w:t>
      </w:r>
      <w:r w:rsidRPr="00AD567E">
        <w:rPr>
          <w:rFonts w:cs="Arial"/>
          <w:sz w:val="22"/>
          <w:szCs w:val="22"/>
        </w:rPr>
        <w:t>müssen unter Beachtung der einschlägigen bundesrechtlichen Vorschriften vergeben werden</w:t>
      </w:r>
      <w:r w:rsidRPr="00AD567E">
        <w:rPr>
          <w:rStyle w:val="Funotenzeichen"/>
          <w:rFonts w:cs="Arial"/>
          <w:sz w:val="22"/>
          <w:szCs w:val="22"/>
        </w:rPr>
        <w:footnoteReference w:id="7"/>
      </w:r>
      <w:r w:rsidRPr="00AD567E">
        <w:rPr>
          <w:rFonts w:cs="Arial"/>
          <w:sz w:val="22"/>
          <w:szCs w:val="22"/>
        </w:rPr>
        <w:t>.</w:t>
      </w:r>
    </w:p>
    <w:p w14:paraId="61266677" w14:textId="5887813D" w:rsidR="00080B42" w:rsidRDefault="00807F50" w:rsidP="00AD567E">
      <w:pPr>
        <w:pStyle w:val="RFlietext"/>
      </w:pPr>
      <w:r w:rsidRPr="00AD567E">
        <w:t xml:space="preserve">Die Schätzung des Auftragswertes ist zu dokumentieren und muss jeweils aktuell, nachvollziehbar und nachrechenbar sein. Die Schätzung hat alle Komponenten des Auftrages zu berücksichtigen, wirtschaftlich </w:t>
      </w:r>
      <w:r w:rsidR="009D2C4E">
        <w:t>bzw. funktional zusammenhängende Leistungen</w:t>
      </w:r>
      <w:r w:rsidRPr="00AD567E">
        <w:t xml:space="preserve"> sind zusammenzurechnen (z.B. Nebenleistungen, Nachfolgearbeiten usw.)</w:t>
      </w:r>
      <w:r w:rsidRPr="00AD567E">
        <w:rPr>
          <w:rStyle w:val="Funotenzeichen"/>
          <w:szCs w:val="22"/>
        </w:rPr>
        <w:t xml:space="preserve"> </w:t>
      </w:r>
      <w:r w:rsidRPr="00AD567E">
        <w:rPr>
          <w:rStyle w:val="Funotenzeichen"/>
          <w:szCs w:val="22"/>
        </w:rPr>
        <w:footnoteReference w:id="8"/>
      </w:r>
      <w:r w:rsidRPr="00AD567E">
        <w:t>.</w:t>
      </w:r>
    </w:p>
    <w:p w14:paraId="1935DCFE" w14:textId="77777777" w:rsidR="00807F50" w:rsidRPr="00AD567E" w:rsidRDefault="00080B42" w:rsidP="00AD567E">
      <w:pPr>
        <w:pStyle w:val="RFlietext"/>
      </w:pPr>
      <w:r>
        <w:t xml:space="preserve">Des Weiteren sind die </w:t>
      </w:r>
      <w:r w:rsidRPr="00080B42">
        <w:rPr>
          <w:b/>
        </w:rPr>
        <w:t>wirtschaftlichen Eigentümer des Auftragnehmers</w:t>
      </w:r>
      <w:r>
        <w:t xml:space="preserve"> zu dokumentieren. </w:t>
      </w:r>
      <w:r w:rsidRPr="00080B42">
        <w:t>Rechtliche Grundlage für die Hinterlegung der Daten ist Anhang XVII der </w:t>
      </w:r>
      <w:hyperlink r:id="rId8" w:history="1">
        <w:r w:rsidRPr="00080B42">
          <w:rPr>
            <w:rStyle w:val="Hyperlink"/>
          </w:rPr>
          <w:t>VO (EU) 2021/1060</w:t>
        </w:r>
      </w:hyperlink>
    </w:p>
    <w:p w14:paraId="426BB61E" w14:textId="77777777" w:rsidR="00807F50" w:rsidRPr="00AD567E" w:rsidRDefault="00807F50" w:rsidP="00AD567E">
      <w:pPr>
        <w:pStyle w:val="RFlietext"/>
        <w:rPr>
          <w:b/>
        </w:rPr>
      </w:pPr>
    </w:p>
    <w:p w14:paraId="39367F6E" w14:textId="149D4301" w:rsidR="00807F50" w:rsidRPr="00AD567E" w:rsidRDefault="00807F50" w:rsidP="00AD567E">
      <w:pPr>
        <w:pStyle w:val="RFlietext"/>
      </w:pPr>
      <w:r w:rsidRPr="00AD567E">
        <w:rPr>
          <w:b/>
        </w:rPr>
        <w:t xml:space="preserve">Jede Vergabe </w:t>
      </w:r>
      <w:r w:rsidR="009D2C4E">
        <w:rPr>
          <w:b/>
        </w:rPr>
        <w:t xml:space="preserve">(auch </w:t>
      </w:r>
      <w:proofErr w:type="spellStart"/>
      <w:r w:rsidR="009D2C4E">
        <w:rPr>
          <w:b/>
        </w:rPr>
        <w:t>Direkvergabe</w:t>
      </w:r>
      <w:proofErr w:type="spellEnd"/>
      <w:r w:rsidR="009D2C4E">
        <w:rPr>
          <w:b/>
        </w:rPr>
        <w:t xml:space="preserve"> </w:t>
      </w:r>
      <w:proofErr w:type="gramStart"/>
      <w:r w:rsidR="009D2C4E">
        <w:rPr>
          <w:b/>
        </w:rPr>
        <w:t xml:space="preserve">und </w:t>
      </w:r>
      <w:r w:rsidRPr="00AD567E">
        <w:rPr>
          <w:b/>
        </w:rPr>
        <w:t xml:space="preserve"> Vergabe</w:t>
      </w:r>
      <w:proofErr w:type="gramEnd"/>
      <w:r w:rsidR="009D2C4E">
        <w:rPr>
          <w:b/>
        </w:rPr>
        <w:t xml:space="preserve"> mit beschränktem Bieterkreis</w:t>
      </w:r>
      <w:r w:rsidRPr="00AD567E">
        <w:rPr>
          <w:b/>
        </w:rPr>
        <w:t>) ist zu dokumentieren</w:t>
      </w:r>
      <w:r w:rsidRPr="00AD567E">
        <w:t>:</w:t>
      </w:r>
    </w:p>
    <w:p w14:paraId="7AC37354" w14:textId="77777777" w:rsidR="00807F50" w:rsidRPr="00AD567E" w:rsidRDefault="00CE318B" w:rsidP="00AD567E">
      <w:pPr>
        <w:pStyle w:val="Listenabsatz"/>
        <w:numPr>
          <w:ilvl w:val="0"/>
          <w:numId w:val="16"/>
        </w:numPr>
        <w:spacing w:after="200" w:line="360" w:lineRule="auto"/>
        <w:rPr>
          <w:rFonts w:cs="Arial"/>
          <w:color w:val="000000" w:themeColor="text1"/>
          <w:sz w:val="22"/>
          <w:szCs w:val="22"/>
        </w:rPr>
      </w:pPr>
      <w:r w:rsidRPr="00AD567E">
        <w:rPr>
          <w:rFonts w:cs="Arial"/>
          <w:sz w:val="22"/>
          <w:szCs w:val="22"/>
        </w:rPr>
        <w:t>Vergabevermerk - Muster</w:t>
      </w:r>
      <w:r w:rsidR="000B2573" w:rsidRPr="00AD567E">
        <w:rPr>
          <w:rFonts w:cs="Arial"/>
          <w:sz w:val="22"/>
          <w:szCs w:val="22"/>
        </w:rPr>
        <w:t xml:space="preserve"> </w:t>
      </w:r>
      <w:r w:rsidR="00807F50" w:rsidRPr="00AD567E">
        <w:rPr>
          <w:rFonts w:cs="Arial"/>
          <w:color w:val="000000" w:themeColor="text1"/>
          <w:sz w:val="22"/>
          <w:szCs w:val="22"/>
        </w:rPr>
        <w:t xml:space="preserve">für </w:t>
      </w:r>
    </w:p>
    <w:p w14:paraId="372C4B96" w14:textId="77777777" w:rsidR="00807F50" w:rsidRPr="00AD567E" w:rsidRDefault="00807F50" w:rsidP="00AD567E">
      <w:pPr>
        <w:pStyle w:val="Listenabsatz"/>
        <w:numPr>
          <w:ilvl w:val="1"/>
          <w:numId w:val="16"/>
        </w:numPr>
        <w:spacing w:after="200" w:line="360" w:lineRule="auto"/>
        <w:rPr>
          <w:rFonts w:cs="Arial"/>
          <w:color w:val="000000" w:themeColor="text1"/>
          <w:sz w:val="22"/>
          <w:szCs w:val="22"/>
        </w:rPr>
      </w:pPr>
      <w:r w:rsidRPr="00AD567E">
        <w:rPr>
          <w:rFonts w:cs="Arial"/>
          <w:color w:val="000000" w:themeColor="text1"/>
          <w:sz w:val="22"/>
          <w:szCs w:val="22"/>
        </w:rPr>
        <w:t xml:space="preserve">Zuwendungen bis 50.000,- € (Achtung: gilt </w:t>
      </w:r>
      <w:r w:rsidRPr="00AD567E">
        <w:rPr>
          <w:rFonts w:cs="Arial"/>
          <w:color w:val="000000" w:themeColor="text1"/>
          <w:sz w:val="22"/>
          <w:szCs w:val="22"/>
          <w:u w:val="single"/>
        </w:rPr>
        <w:t>nicht</w:t>
      </w:r>
      <w:r w:rsidRPr="00AD567E">
        <w:rPr>
          <w:rFonts w:cs="Arial"/>
          <w:color w:val="000000" w:themeColor="text1"/>
          <w:sz w:val="22"/>
          <w:szCs w:val="22"/>
        </w:rPr>
        <w:t xml:space="preserve"> für öffentliche Auftraggeber) sowie </w:t>
      </w:r>
    </w:p>
    <w:p w14:paraId="395C8CE3" w14:textId="77777777" w:rsidR="000B2573" w:rsidRPr="00AD567E" w:rsidRDefault="00807F50" w:rsidP="00AD567E">
      <w:pPr>
        <w:pStyle w:val="Listenabsatz"/>
        <w:numPr>
          <w:ilvl w:val="1"/>
          <w:numId w:val="16"/>
        </w:numPr>
        <w:spacing w:after="200" w:line="360" w:lineRule="auto"/>
        <w:rPr>
          <w:rFonts w:cs="Arial"/>
          <w:color w:val="000000" w:themeColor="text1"/>
          <w:sz w:val="22"/>
          <w:szCs w:val="22"/>
        </w:rPr>
      </w:pPr>
      <w:r w:rsidRPr="00AD567E">
        <w:rPr>
          <w:rFonts w:cs="Arial"/>
          <w:color w:val="000000" w:themeColor="text1"/>
          <w:sz w:val="22"/>
          <w:szCs w:val="22"/>
        </w:rPr>
        <w:t xml:space="preserve">Zuwendungen &gt; 50.000,- € </w:t>
      </w:r>
      <w:r w:rsidRPr="00AD567E">
        <w:rPr>
          <w:rFonts w:cs="Arial"/>
          <w:color w:val="000000" w:themeColor="text1"/>
          <w:sz w:val="22"/>
          <w:szCs w:val="22"/>
          <w:u w:val="single"/>
        </w:rPr>
        <w:t>und</w:t>
      </w:r>
      <w:r w:rsidRPr="00AD567E">
        <w:rPr>
          <w:rFonts w:cs="Arial"/>
          <w:color w:val="000000" w:themeColor="text1"/>
          <w:sz w:val="22"/>
          <w:szCs w:val="22"/>
        </w:rPr>
        <w:t xml:space="preserve"> Auftragswert der Beschaffung beträgt </w:t>
      </w:r>
    </w:p>
    <w:p w14:paraId="2E95C0AD" w14:textId="38F1FEAC" w:rsidR="000B2573" w:rsidRPr="00AD567E" w:rsidRDefault="000B2573" w:rsidP="009D2C4E">
      <w:pPr>
        <w:pStyle w:val="Listenabsatz"/>
        <w:spacing w:after="200" w:line="360" w:lineRule="auto"/>
        <w:ind w:left="2124"/>
        <w:rPr>
          <w:rFonts w:cs="Arial"/>
          <w:color w:val="000000" w:themeColor="text1"/>
          <w:sz w:val="22"/>
          <w:szCs w:val="22"/>
        </w:rPr>
      </w:pPr>
      <w:r w:rsidRPr="00AD567E">
        <w:rPr>
          <w:rFonts w:cs="Arial"/>
          <w:color w:val="000000" w:themeColor="text1"/>
          <w:sz w:val="22"/>
          <w:szCs w:val="22"/>
        </w:rPr>
        <w:t xml:space="preserve">- </w:t>
      </w:r>
      <w:r w:rsidR="00807F50" w:rsidRPr="00AD567E">
        <w:rPr>
          <w:rFonts w:cs="Arial"/>
          <w:color w:val="000000" w:themeColor="text1"/>
          <w:sz w:val="22"/>
          <w:szCs w:val="22"/>
        </w:rPr>
        <w:t>max. 49.999,- €</w:t>
      </w:r>
      <w:r w:rsidRPr="00AD567E">
        <w:rPr>
          <w:rFonts w:cs="Arial"/>
          <w:color w:val="000000" w:themeColor="text1"/>
          <w:sz w:val="22"/>
          <w:szCs w:val="22"/>
        </w:rPr>
        <w:t xml:space="preserve"> für </w:t>
      </w:r>
      <w:proofErr w:type="spellStart"/>
      <w:r w:rsidR="009D2C4E">
        <w:rPr>
          <w:rFonts w:cs="Arial"/>
          <w:color w:val="000000" w:themeColor="text1"/>
          <w:sz w:val="22"/>
          <w:szCs w:val="22"/>
        </w:rPr>
        <w:t>UVgO</w:t>
      </w:r>
      <w:proofErr w:type="spellEnd"/>
      <w:r w:rsidRPr="00AD567E">
        <w:rPr>
          <w:rFonts w:cs="Arial"/>
          <w:color w:val="000000" w:themeColor="text1"/>
          <w:sz w:val="22"/>
          <w:szCs w:val="22"/>
        </w:rPr>
        <w:t xml:space="preserve"> und VOB-Leistungen (</w:t>
      </w:r>
      <w:r w:rsidR="009D2C4E">
        <w:rPr>
          <w:rFonts w:cs="Arial"/>
          <w:color w:val="000000" w:themeColor="text1"/>
          <w:sz w:val="22"/>
          <w:szCs w:val="22"/>
        </w:rPr>
        <w:t>Einholung von Vergleichsangeboten</w:t>
      </w:r>
      <w:r w:rsidRPr="00AD567E">
        <w:rPr>
          <w:rFonts w:cs="Arial"/>
          <w:color w:val="000000" w:themeColor="text1"/>
          <w:sz w:val="22"/>
          <w:szCs w:val="22"/>
        </w:rPr>
        <w:t>)</w:t>
      </w:r>
    </w:p>
    <w:p w14:paraId="420D6904" w14:textId="58B53FB9" w:rsidR="000B2573" w:rsidRPr="00AD567E" w:rsidRDefault="009D2C4E" w:rsidP="009D2C4E">
      <w:pPr>
        <w:pStyle w:val="Listenabsatz"/>
        <w:spacing w:after="200" w:line="360" w:lineRule="auto"/>
        <w:ind w:left="2124"/>
        <w:rPr>
          <w:rFonts w:cs="Arial"/>
          <w:color w:val="000000" w:themeColor="text1"/>
          <w:sz w:val="22"/>
          <w:szCs w:val="22"/>
        </w:rPr>
      </w:pPr>
      <w:r>
        <w:rPr>
          <w:rFonts w:cs="Arial"/>
          <w:color w:val="000000" w:themeColor="text1"/>
          <w:sz w:val="22"/>
          <w:szCs w:val="22"/>
        </w:rPr>
        <w:t xml:space="preserve">- max. 99.999,- € für </w:t>
      </w:r>
      <w:proofErr w:type="spellStart"/>
      <w:r>
        <w:rPr>
          <w:rFonts w:cs="Arial"/>
          <w:color w:val="000000" w:themeColor="text1"/>
          <w:sz w:val="22"/>
          <w:szCs w:val="22"/>
        </w:rPr>
        <w:t>UVgO</w:t>
      </w:r>
      <w:proofErr w:type="spellEnd"/>
      <w:r>
        <w:rPr>
          <w:rFonts w:cs="Arial"/>
          <w:color w:val="000000" w:themeColor="text1"/>
          <w:sz w:val="22"/>
          <w:szCs w:val="22"/>
        </w:rPr>
        <w:t xml:space="preserve"> Lei</w:t>
      </w:r>
      <w:r w:rsidR="000B2573" w:rsidRPr="00AD567E">
        <w:rPr>
          <w:rFonts w:cs="Arial"/>
          <w:color w:val="000000" w:themeColor="text1"/>
          <w:sz w:val="22"/>
          <w:szCs w:val="22"/>
        </w:rPr>
        <w:t>stungen (beschränkte Ausschreibung</w:t>
      </w:r>
      <w:r>
        <w:rPr>
          <w:rFonts w:cs="Arial"/>
          <w:color w:val="000000" w:themeColor="text1"/>
          <w:sz w:val="22"/>
          <w:szCs w:val="22"/>
        </w:rPr>
        <w:t xml:space="preserve"> ohne Teilnahmewettbewerb</w:t>
      </w:r>
      <w:r w:rsidR="000B2573" w:rsidRPr="00AD567E">
        <w:rPr>
          <w:rFonts w:cs="Arial"/>
          <w:color w:val="000000" w:themeColor="text1"/>
          <w:sz w:val="22"/>
          <w:szCs w:val="22"/>
        </w:rPr>
        <w:t>)</w:t>
      </w:r>
    </w:p>
    <w:p w14:paraId="178292D3" w14:textId="1DF44B69" w:rsidR="000B2573" w:rsidRPr="00AD567E" w:rsidRDefault="000B2573" w:rsidP="009D2C4E">
      <w:pPr>
        <w:pStyle w:val="Listenabsatz"/>
        <w:spacing w:after="200" w:line="360" w:lineRule="auto"/>
        <w:ind w:left="2124"/>
        <w:rPr>
          <w:rFonts w:cs="Arial"/>
          <w:color w:val="000000" w:themeColor="text1"/>
          <w:sz w:val="22"/>
          <w:szCs w:val="22"/>
        </w:rPr>
      </w:pPr>
      <w:r w:rsidRPr="00AD567E">
        <w:rPr>
          <w:rFonts w:cs="Arial"/>
          <w:color w:val="000000" w:themeColor="text1"/>
          <w:sz w:val="22"/>
          <w:szCs w:val="22"/>
        </w:rPr>
        <w:t>- max. 499.999,- € für VOB-Leistungen (</w:t>
      </w:r>
      <w:r w:rsidR="009D2C4E" w:rsidRPr="009D2C4E">
        <w:rPr>
          <w:rFonts w:cs="Arial"/>
          <w:color w:val="000000" w:themeColor="text1"/>
          <w:sz w:val="22"/>
          <w:szCs w:val="22"/>
        </w:rPr>
        <w:t>beschränkte Ausschreibung ohne Teilnahmewettbewerb)</w:t>
      </w:r>
      <w:r w:rsidRPr="00AD567E">
        <w:rPr>
          <w:rFonts w:cs="Arial"/>
          <w:color w:val="000000" w:themeColor="text1"/>
          <w:sz w:val="22"/>
          <w:szCs w:val="22"/>
        </w:rPr>
        <w:t>)</w:t>
      </w:r>
    </w:p>
    <w:p w14:paraId="2A1E379A" w14:textId="77777777" w:rsidR="00EB4941" w:rsidRDefault="00084231" w:rsidP="00EB4941">
      <w:pPr>
        <w:pStyle w:val="Listenabsatz"/>
        <w:spacing w:after="200" w:line="360" w:lineRule="auto"/>
        <w:ind w:left="2124"/>
        <w:rPr>
          <w:rFonts w:cs="Arial"/>
          <w:color w:val="000000" w:themeColor="text1"/>
          <w:sz w:val="22"/>
          <w:szCs w:val="22"/>
        </w:rPr>
      </w:pPr>
      <w:r>
        <w:rPr>
          <w:rFonts w:cs="Arial"/>
          <w:color w:val="000000" w:themeColor="text1"/>
          <w:sz w:val="22"/>
          <w:szCs w:val="22"/>
        </w:rPr>
        <w:t xml:space="preserve">- max. </w:t>
      </w:r>
      <w:proofErr w:type="gramStart"/>
      <w:r>
        <w:rPr>
          <w:rFonts w:cs="Arial"/>
          <w:color w:val="000000" w:themeColor="text1"/>
          <w:sz w:val="22"/>
          <w:szCs w:val="22"/>
        </w:rPr>
        <w:t>2</w:t>
      </w:r>
      <w:r w:rsidR="009D2C4E">
        <w:rPr>
          <w:rFonts w:cs="Arial"/>
          <w:color w:val="000000" w:themeColor="text1"/>
          <w:sz w:val="22"/>
          <w:szCs w:val="22"/>
        </w:rPr>
        <w:t>20.000</w:t>
      </w:r>
      <w:r>
        <w:rPr>
          <w:rFonts w:cs="Arial"/>
          <w:color w:val="000000" w:themeColor="text1"/>
          <w:sz w:val="22"/>
          <w:szCs w:val="22"/>
        </w:rPr>
        <w:t>,--</w:t>
      </w:r>
      <w:proofErr w:type="gramEnd"/>
      <w:r>
        <w:rPr>
          <w:rFonts w:cs="Arial"/>
          <w:color w:val="000000" w:themeColor="text1"/>
          <w:sz w:val="22"/>
          <w:szCs w:val="22"/>
        </w:rPr>
        <w:t xml:space="preserve"> € für freiberufliche L</w:t>
      </w:r>
      <w:r w:rsidR="000B2573" w:rsidRPr="00AD567E">
        <w:rPr>
          <w:rFonts w:cs="Arial"/>
          <w:color w:val="000000" w:themeColor="text1"/>
          <w:sz w:val="22"/>
          <w:szCs w:val="22"/>
        </w:rPr>
        <w:t>eistungen (Einholung von Vergleichsangeboten)</w:t>
      </w:r>
    </w:p>
    <w:p w14:paraId="5AAE4CBE" w14:textId="7D5BD2C8" w:rsidR="00807F50" w:rsidRPr="00AD567E" w:rsidRDefault="00EB4941" w:rsidP="00EB4941">
      <w:pPr>
        <w:spacing w:after="200" w:line="360" w:lineRule="auto"/>
        <w:ind w:left="644"/>
        <w:rPr>
          <w:rFonts w:cs="Arial"/>
          <w:color w:val="000000" w:themeColor="text1"/>
          <w:sz w:val="22"/>
          <w:szCs w:val="22"/>
        </w:rPr>
      </w:pPr>
      <w:r w:rsidRPr="00EB4941">
        <w:rPr>
          <w:rFonts w:cs="Arial"/>
          <w:color w:val="000000" w:themeColor="text1"/>
          <w:sz w:val="22"/>
          <w:szCs w:val="22"/>
        </w:rPr>
        <w:t xml:space="preserve">Für öffentliche Auftraggeber besteht die </w:t>
      </w:r>
      <w:proofErr w:type="gramStart"/>
      <w:r w:rsidRPr="00EB4941">
        <w:rPr>
          <w:rFonts w:cs="Arial"/>
          <w:color w:val="000000" w:themeColor="text1"/>
          <w:sz w:val="22"/>
          <w:szCs w:val="22"/>
        </w:rPr>
        <w:t>Verpflichtung,  die</w:t>
      </w:r>
      <w:proofErr w:type="gramEnd"/>
      <w:r w:rsidRPr="00EB4941">
        <w:rPr>
          <w:rFonts w:cs="Arial"/>
          <w:color w:val="000000" w:themeColor="text1"/>
          <w:sz w:val="22"/>
          <w:szCs w:val="22"/>
        </w:rPr>
        <w:t xml:space="preserve"> Vergaben für Bau-,Liefer- und gewerbliche Dienstleistungen ab 50.000 € auf elektronischem Weg durchzuführen </w:t>
      </w:r>
      <w:r w:rsidRPr="00EB4941">
        <w:rPr>
          <w:rFonts w:cs="Arial"/>
          <w:color w:val="000000" w:themeColor="text1"/>
          <w:sz w:val="22"/>
          <w:szCs w:val="22"/>
        </w:rPr>
        <w:lastRenderedPageBreak/>
        <w:t>und dabei die im System der bremischen elektronischen Vergabe hinterlegten Formblätter (und damit auch den dortigen Vergabevermerk) zu verwenden</w:t>
      </w:r>
      <w:r>
        <w:rPr>
          <w:rFonts w:cs="Arial"/>
          <w:color w:val="000000" w:themeColor="text1"/>
          <w:sz w:val="22"/>
          <w:szCs w:val="22"/>
        </w:rPr>
        <w:t>.</w:t>
      </w:r>
    </w:p>
    <w:p w14:paraId="6BC2EE43" w14:textId="169829D3" w:rsidR="00807F50" w:rsidRDefault="00807F50" w:rsidP="00AD567E">
      <w:pPr>
        <w:pStyle w:val="Listenabsatz"/>
        <w:spacing w:line="360" w:lineRule="auto"/>
        <w:ind w:left="644"/>
        <w:rPr>
          <w:rFonts w:cs="Arial"/>
          <w:color w:val="000000" w:themeColor="text1"/>
          <w:sz w:val="22"/>
          <w:szCs w:val="22"/>
          <w:u w:val="single"/>
        </w:rPr>
      </w:pPr>
      <w:r w:rsidRPr="00AD567E">
        <w:rPr>
          <w:rFonts w:cs="Arial"/>
          <w:color w:val="000000" w:themeColor="text1"/>
          <w:sz w:val="22"/>
          <w:szCs w:val="22"/>
          <w:u w:val="single"/>
        </w:rPr>
        <w:t xml:space="preserve">Für </w:t>
      </w:r>
      <w:r w:rsidR="000B2573" w:rsidRPr="00AD567E">
        <w:rPr>
          <w:rFonts w:cs="Arial"/>
          <w:color w:val="000000" w:themeColor="text1"/>
          <w:sz w:val="22"/>
          <w:szCs w:val="22"/>
          <w:u w:val="single"/>
        </w:rPr>
        <w:t>darüberhinausgehende Auftragsvergaben is</w:t>
      </w:r>
      <w:r w:rsidRPr="00AD567E">
        <w:rPr>
          <w:rFonts w:cs="Arial"/>
          <w:color w:val="000000" w:themeColor="text1"/>
          <w:sz w:val="22"/>
          <w:szCs w:val="22"/>
          <w:u w:val="single"/>
        </w:rPr>
        <w:t>t ein Vergabevermerk gemäß den jeweils einschlägigen Vorschriften zu erstellen.</w:t>
      </w:r>
    </w:p>
    <w:p w14:paraId="668952B3" w14:textId="77777777" w:rsidR="00EB4941" w:rsidRPr="00AD567E" w:rsidRDefault="00EB4941" w:rsidP="00AD567E">
      <w:pPr>
        <w:pStyle w:val="Listenabsatz"/>
        <w:spacing w:line="360" w:lineRule="auto"/>
        <w:ind w:left="644"/>
        <w:rPr>
          <w:rFonts w:cs="Arial"/>
          <w:color w:val="000000" w:themeColor="text1"/>
          <w:sz w:val="22"/>
          <w:szCs w:val="22"/>
        </w:rPr>
      </w:pPr>
    </w:p>
    <w:p w14:paraId="303B66FE" w14:textId="77777777" w:rsidR="00807F50" w:rsidRPr="00AD567E" w:rsidRDefault="00911181" w:rsidP="00AD567E">
      <w:pPr>
        <w:pStyle w:val="Listenabsatz"/>
        <w:numPr>
          <w:ilvl w:val="0"/>
          <w:numId w:val="16"/>
        </w:numPr>
        <w:spacing w:after="200" w:line="360" w:lineRule="auto"/>
        <w:rPr>
          <w:rFonts w:cs="Arial"/>
          <w:sz w:val="22"/>
          <w:szCs w:val="22"/>
        </w:rPr>
      </w:pPr>
      <w:r w:rsidRPr="00AD567E">
        <w:rPr>
          <w:rFonts w:cs="Arial"/>
          <w:sz w:val="22"/>
          <w:szCs w:val="22"/>
        </w:rPr>
        <w:t>Belegliste ist ordnungsgemäß aus</w:t>
      </w:r>
      <w:r w:rsidR="00084231">
        <w:rPr>
          <w:rFonts w:cs="Arial"/>
          <w:sz w:val="22"/>
          <w:szCs w:val="22"/>
        </w:rPr>
        <w:t>zu</w:t>
      </w:r>
      <w:r w:rsidRPr="00AD567E">
        <w:rPr>
          <w:rFonts w:cs="Arial"/>
          <w:sz w:val="22"/>
          <w:szCs w:val="22"/>
        </w:rPr>
        <w:t xml:space="preserve">füllen. </w:t>
      </w:r>
    </w:p>
    <w:p w14:paraId="71EAF26A" w14:textId="77777777" w:rsidR="00807F50" w:rsidRPr="00AD567E" w:rsidRDefault="00807F50" w:rsidP="00AD567E">
      <w:pPr>
        <w:pStyle w:val="Listenabsatz"/>
        <w:numPr>
          <w:ilvl w:val="0"/>
          <w:numId w:val="16"/>
        </w:numPr>
        <w:spacing w:after="200" w:line="360" w:lineRule="auto"/>
        <w:rPr>
          <w:rFonts w:cs="Arial"/>
          <w:sz w:val="22"/>
          <w:szCs w:val="22"/>
        </w:rPr>
      </w:pPr>
      <w:r w:rsidRPr="00AD567E">
        <w:rPr>
          <w:rFonts w:cs="Arial"/>
          <w:sz w:val="22"/>
          <w:szCs w:val="22"/>
        </w:rPr>
        <w:t xml:space="preserve"> Alle im Vergabeverfahren anfallenden Unterlagen sind aufzubewahren</w:t>
      </w:r>
      <w:r w:rsidR="00D561A1" w:rsidRPr="00AD567E">
        <w:rPr>
          <w:rFonts w:cs="Arial"/>
          <w:sz w:val="22"/>
          <w:szCs w:val="22"/>
        </w:rPr>
        <w:t>.</w:t>
      </w:r>
    </w:p>
    <w:p w14:paraId="5D62CC09" w14:textId="77777777" w:rsidR="00D7590D" w:rsidRDefault="00D561A1" w:rsidP="00AD567E">
      <w:pPr>
        <w:pStyle w:val="Listenabsatz"/>
        <w:numPr>
          <w:ilvl w:val="0"/>
          <w:numId w:val="16"/>
        </w:numPr>
        <w:spacing w:after="200" w:line="360" w:lineRule="auto"/>
        <w:rPr>
          <w:rFonts w:cs="Arial"/>
          <w:sz w:val="22"/>
          <w:szCs w:val="22"/>
        </w:rPr>
      </w:pPr>
      <w:r w:rsidRPr="00AD567E">
        <w:rPr>
          <w:rFonts w:cs="Arial"/>
          <w:sz w:val="22"/>
          <w:szCs w:val="22"/>
        </w:rPr>
        <w:t>Es wird empfohlen die einzelnen Vergabeverfahren (alle) zu nummerieren und die dazugehörigen Unt</w:t>
      </w:r>
      <w:r w:rsidR="00AD567E">
        <w:rPr>
          <w:rFonts w:cs="Arial"/>
          <w:sz w:val="22"/>
          <w:szCs w:val="22"/>
        </w:rPr>
        <w:t>erlagen entsprechend abzulegen.</w:t>
      </w:r>
    </w:p>
    <w:p w14:paraId="323A551B" w14:textId="77777777" w:rsidR="0008550D" w:rsidRDefault="0008550D" w:rsidP="0008550D">
      <w:pPr>
        <w:spacing w:after="200" w:line="360" w:lineRule="auto"/>
        <w:rPr>
          <w:rFonts w:cs="Arial"/>
          <w:sz w:val="22"/>
          <w:szCs w:val="22"/>
        </w:rPr>
      </w:pPr>
    </w:p>
    <w:p w14:paraId="02DFAC80" w14:textId="77777777" w:rsidR="00D60B97" w:rsidRDefault="0008550D" w:rsidP="0008550D">
      <w:pPr>
        <w:spacing w:after="200" w:line="360" w:lineRule="auto"/>
        <w:rPr>
          <w:rFonts w:cs="Arial"/>
          <w:sz w:val="22"/>
          <w:szCs w:val="22"/>
        </w:rPr>
      </w:pPr>
      <w:r w:rsidRPr="0008550D">
        <w:rPr>
          <w:rFonts w:cs="Arial"/>
          <w:sz w:val="22"/>
          <w:szCs w:val="22"/>
        </w:rPr>
        <w:t xml:space="preserve">(Für Zuwendungsempfänger, die öffentliche Auftraggeber im Sinne von § 98 – 101 GWB sind, gelten teilweise zusätzliche Bestimmungen, die nicht Gegenstand des Merkblattes sind. </w:t>
      </w:r>
      <w:r w:rsidR="00D60B97">
        <w:rPr>
          <w:rFonts w:cs="Arial"/>
          <w:sz w:val="22"/>
          <w:szCs w:val="22"/>
        </w:rPr>
        <w:t>Insbesondere gilt § 99 Ziffer 4 GWB.</w:t>
      </w:r>
    </w:p>
    <w:p w14:paraId="59E96D1C" w14:textId="77777777" w:rsidR="0008550D" w:rsidRDefault="00D60B97" w:rsidP="0008550D">
      <w:pPr>
        <w:spacing w:after="200" w:line="360" w:lineRule="auto"/>
        <w:rPr>
          <w:rFonts w:cs="Arial"/>
          <w:sz w:val="22"/>
          <w:szCs w:val="22"/>
        </w:rPr>
      </w:pPr>
      <w:r>
        <w:rPr>
          <w:rFonts w:cs="Arial"/>
          <w:sz w:val="22"/>
          <w:szCs w:val="22"/>
        </w:rPr>
        <w:t>S</w:t>
      </w:r>
      <w:r w:rsidR="0008550D" w:rsidRPr="0008550D">
        <w:rPr>
          <w:rFonts w:cs="Arial"/>
          <w:sz w:val="22"/>
          <w:szCs w:val="22"/>
        </w:rPr>
        <w:t>ie können sich informieren unter:</w:t>
      </w:r>
    </w:p>
    <w:p w14:paraId="6B0BB75E" w14:textId="77777777" w:rsidR="00084231" w:rsidRPr="0008550D" w:rsidRDefault="00001FE4" w:rsidP="0008550D">
      <w:pPr>
        <w:spacing w:after="200" w:line="360" w:lineRule="auto"/>
        <w:rPr>
          <w:rFonts w:cs="Arial"/>
          <w:sz w:val="22"/>
          <w:szCs w:val="22"/>
        </w:rPr>
      </w:pPr>
      <w:hyperlink r:id="rId9" w:history="1">
        <w:r w:rsidR="00D60B97" w:rsidRPr="00D60B97">
          <w:rPr>
            <w:rStyle w:val="Hyperlink"/>
            <w:rFonts w:cs="Arial"/>
            <w:sz w:val="22"/>
            <w:szCs w:val="22"/>
          </w:rPr>
          <w:t>Gesetz gegen Wettbewerbsbeschränkungen (GWB) – Teil 4</w:t>
        </w:r>
      </w:hyperlink>
    </w:p>
    <w:sectPr w:rsidR="00084231" w:rsidRPr="0008550D" w:rsidSect="00683DE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9DB48" w14:textId="77777777" w:rsidR="00283582" w:rsidRDefault="00283582" w:rsidP="00DF4455">
      <w:r>
        <w:separator/>
      </w:r>
    </w:p>
  </w:endnote>
  <w:endnote w:type="continuationSeparator" w:id="0">
    <w:p w14:paraId="6DCF4B23" w14:textId="77777777" w:rsidR="00283582" w:rsidRDefault="00283582" w:rsidP="00DF4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B939" w14:textId="77777777" w:rsidR="00742070" w:rsidRDefault="0074207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632090"/>
      <w:docPartObj>
        <w:docPartGallery w:val="Page Numbers (Bottom of Page)"/>
        <w:docPartUnique/>
      </w:docPartObj>
    </w:sdtPr>
    <w:sdtEndPr/>
    <w:sdtContent>
      <w:p w14:paraId="6A251023" w14:textId="7414F1F6" w:rsidR="0095486D" w:rsidRDefault="0095486D">
        <w:pPr>
          <w:pStyle w:val="Fuzeile"/>
          <w:jc w:val="right"/>
        </w:pPr>
        <w:r>
          <w:fldChar w:fldCharType="begin"/>
        </w:r>
        <w:r>
          <w:instrText>PAGE   \* MERGEFORMAT</w:instrText>
        </w:r>
        <w:r>
          <w:fldChar w:fldCharType="separate"/>
        </w:r>
        <w:r w:rsidR="007B60F0">
          <w:rPr>
            <w:noProof/>
          </w:rPr>
          <w:t>4</w:t>
        </w:r>
        <w:r>
          <w:fldChar w:fldCharType="end"/>
        </w:r>
      </w:p>
    </w:sdtContent>
  </w:sdt>
  <w:p w14:paraId="2AE90B9F" w14:textId="77777777" w:rsidR="0095486D" w:rsidRDefault="0095486D" w:rsidP="00054AEF">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141279"/>
      <w:docPartObj>
        <w:docPartGallery w:val="Page Numbers (Bottom of Page)"/>
        <w:docPartUnique/>
      </w:docPartObj>
    </w:sdtPr>
    <w:sdtEndPr/>
    <w:sdtContent>
      <w:p w14:paraId="153D4646" w14:textId="0C85207A" w:rsidR="00683DE4" w:rsidRDefault="00683DE4">
        <w:pPr>
          <w:pStyle w:val="Fuzeile"/>
          <w:jc w:val="right"/>
        </w:pPr>
        <w:r>
          <w:fldChar w:fldCharType="begin"/>
        </w:r>
        <w:r>
          <w:instrText>PAGE   \* MERGEFORMAT</w:instrText>
        </w:r>
        <w:r>
          <w:fldChar w:fldCharType="separate"/>
        </w:r>
        <w:r w:rsidR="007B60F0">
          <w:rPr>
            <w:noProof/>
          </w:rPr>
          <w:t>1</w:t>
        </w:r>
        <w:r>
          <w:fldChar w:fldCharType="end"/>
        </w:r>
      </w:p>
    </w:sdtContent>
  </w:sdt>
  <w:p w14:paraId="6ABD9CF4" w14:textId="77777777" w:rsidR="00683DE4" w:rsidRDefault="00683DE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681E9" w14:textId="77777777" w:rsidR="00283582" w:rsidRDefault="00283582" w:rsidP="00DF4455">
      <w:r>
        <w:separator/>
      </w:r>
    </w:p>
  </w:footnote>
  <w:footnote w:type="continuationSeparator" w:id="0">
    <w:p w14:paraId="22367D12" w14:textId="77777777" w:rsidR="00283582" w:rsidRDefault="00283582" w:rsidP="00DF4455">
      <w:r>
        <w:continuationSeparator/>
      </w:r>
    </w:p>
  </w:footnote>
  <w:footnote w:id="1">
    <w:p w14:paraId="7EE7A637" w14:textId="77777777" w:rsidR="00807F50" w:rsidRPr="00D561A1" w:rsidRDefault="00807F50" w:rsidP="00807F50">
      <w:pPr>
        <w:pStyle w:val="Funotentext"/>
        <w:rPr>
          <w:rFonts w:ascii="Arial Narrow" w:hAnsi="Arial Narrow"/>
          <w:sz w:val="18"/>
          <w:szCs w:val="18"/>
        </w:rPr>
      </w:pPr>
      <w:r w:rsidRPr="00D561A1">
        <w:rPr>
          <w:rFonts w:ascii="Arial Narrow" w:hAnsi="Arial Narrow"/>
          <w:sz w:val="18"/>
          <w:szCs w:val="18"/>
          <w:vertAlign w:val="superscript"/>
        </w:rPr>
        <w:footnoteRef/>
      </w:r>
      <w:r w:rsidRPr="00D561A1">
        <w:rPr>
          <w:rFonts w:ascii="Arial Narrow" w:hAnsi="Arial Narrow"/>
          <w:sz w:val="18"/>
          <w:szCs w:val="18"/>
          <w:vertAlign w:val="superscript"/>
        </w:rPr>
        <w:t xml:space="preserve"> </w:t>
      </w:r>
      <w:r w:rsidRPr="00D561A1">
        <w:rPr>
          <w:rFonts w:ascii="Arial Narrow" w:hAnsi="Arial Narrow"/>
          <w:sz w:val="18"/>
          <w:szCs w:val="18"/>
        </w:rPr>
        <w:t>Vgl. Ziffer 3.</w:t>
      </w:r>
      <w:r w:rsidR="00234059">
        <w:rPr>
          <w:rFonts w:ascii="Arial Narrow" w:hAnsi="Arial Narrow"/>
          <w:sz w:val="18"/>
          <w:szCs w:val="18"/>
        </w:rPr>
        <w:t>1</w:t>
      </w:r>
      <w:r w:rsidRPr="00D561A1">
        <w:rPr>
          <w:rFonts w:ascii="Arial Narrow" w:hAnsi="Arial Narrow"/>
          <w:sz w:val="18"/>
          <w:szCs w:val="18"/>
        </w:rPr>
        <w:t xml:space="preserve"> </w:t>
      </w:r>
      <w:proofErr w:type="spellStart"/>
      <w:r w:rsidRPr="00D561A1">
        <w:rPr>
          <w:rFonts w:ascii="Arial Narrow" w:hAnsi="Arial Narrow"/>
          <w:sz w:val="18"/>
          <w:szCs w:val="18"/>
        </w:rPr>
        <w:t>ANBest</w:t>
      </w:r>
      <w:proofErr w:type="spellEnd"/>
      <w:r w:rsidRPr="00D561A1">
        <w:rPr>
          <w:rFonts w:ascii="Arial Narrow" w:hAnsi="Arial Narrow"/>
          <w:sz w:val="18"/>
          <w:szCs w:val="18"/>
        </w:rPr>
        <w:t>-</w:t>
      </w:r>
      <w:r w:rsidR="0008550D">
        <w:rPr>
          <w:rFonts w:ascii="Arial Narrow" w:hAnsi="Arial Narrow"/>
          <w:sz w:val="18"/>
          <w:szCs w:val="18"/>
        </w:rPr>
        <w:t>EMF</w:t>
      </w:r>
      <w:r w:rsidR="00234059">
        <w:rPr>
          <w:rFonts w:ascii="Arial Narrow" w:hAnsi="Arial Narrow"/>
          <w:sz w:val="18"/>
          <w:szCs w:val="18"/>
        </w:rPr>
        <w:t>A</w:t>
      </w:r>
      <w:r w:rsidR="0008550D">
        <w:rPr>
          <w:rFonts w:ascii="Arial Narrow" w:hAnsi="Arial Narrow"/>
          <w:sz w:val="18"/>
          <w:szCs w:val="18"/>
        </w:rPr>
        <w:t>F</w:t>
      </w:r>
    </w:p>
  </w:footnote>
  <w:footnote w:id="2">
    <w:p w14:paraId="17E088E4" w14:textId="303A39B0" w:rsidR="00807F50" w:rsidRPr="00D561A1" w:rsidRDefault="00807F50" w:rsidP="00807F50">
      <w:pPr>
        <w:pStyle w:val="Funotentext"/>
        <w:rPr>
          <w:rFonts w:ascii="Arial Narrow" w:hAnsi="Arial Narrow"/>
          <w:color w:val="000000" w:themeColor="text1"/>
          <w:sz w:val="18"/>
          <w:szCs w:val="18"/>
        </w:rPr>
      </w:pPr>
      <w:r w:rsidRPr="00D561A1">
        <w:rPr>
          <w:rStyle w:val="Funotenzeichen"/>
          <w:rFonts w:ascii="Arial Narrow" w:hAnsi="Arial Narrow"/>
          <w:sz w:val="18"/>
          <w:szCs w:val="18"/>
        </w:rPr>
        <w:footnoteRef/>
      </w:r>
      <w:r w:rsidRPr="00D561A1">
        <w:rPr>
          <w:rFonts w:ascii="Arial Narrow" w:hAnsi="Arial Narrow"/>
          <w:sz w:val="18"/>
          <w:szCs w:val="18"/>
          <w:vertAlign w:val="superscript"/>
        </w:rPr>
        <w:t xml:space="preserve"> </w:t>
      </w:r>
      <w:r w:rsidRPr="00D561A1">
        <w:rPr>
          <w:rFonts w:ascii="Arial Narrow" w:hAnsi="Arial Narrow"/>
          <w:color w:val="000000" w:themeColor="text1"/>
          <w:sz w:val="18"/>
          <w:szCs w:val="18"/>
        </w:rPr>
        <w:t xml:space="preserve">Als </w:t>
      </w:r>
      <w:proofErr w:type="spellStart"/>
      <w:r w:rsidRPr="00D561A1">
        <w:rPr>
          <w:rFonts w:ascii="Arial Narrow" w:hAnsi="Arial Narrow"/>
          <w:color w:val="000000" w:themeColor="text1"/>
          <w:sz w:val="18"/>
          <w:szCs w:val="18"/>
        </w:rPr>
        <w:t>öff</w:t>
      </w:r>
      <w:proofErr w:type="spellEnd"/>
      <w:r w:rsidRPr="00D561A1">
        <w:rPr>
          <w:rFonts w:ascii="Arial Narrow" w:hAnsi="Arial Narrow"/>
          <w:color w:val="000000" w:themeColor="text1"/>
          <w:sz w:val="18"/>
          <w:szCs w:val="18"/>
        </w:rPr>
        <w:t xml:space="preserve">. Auftraggeber sind die weiteren Abschnitte des </w:t>
      </w:r>
      <w:proofErr w:type="spellStart"/>
      <w:r w:rsidRPr="00D561A1">
        <w:rPr>
          <w:rFonts w:ascii="Arial Narrow" w:hAnsi="Arial Narrow"/>
          <w:color w:val="000000" w:themeColor="text1"/>
          <w:sz w:val="18"/>
          <w:szCs w:val="18"/>
        </w:rPr>
        <w:t>BremTtVG</w:t>
      </w:r>
      <w:proofErr w:type="spellEnd"/>
      <w:r w:rsidRPr="00D561A1">
        <w:rPr>
          <w:rFonts w:ascii="Arial Narrow" w:hAnsi="Arial Narrow"/>
          <w:color w:val="000000" w:themeColor="text1"/>
          <w:sz w:val="18"/>
          <w:szCs w:val="18"/>
        </w:rPr>
        <w:t xml:space="preserve"> (insb. Mindestlohn/Tariftreue) sowie weitere Vorschriften wie z.B. </w:t>
      </w:r>
      <w:r w:rsidR="00351A15">
        <w:rPr>
          <w:rFonts w:ascii="Arial Narrow" w:hAnsi="Arial Narrow"/>
          <w:color w:val="000000" w:themeColor="text1"/>
          <w:sz w:val="18"/>
          <w:szCs w:val="18"/>
        </w:rPr>
        <w:t>Wettbewerbsregister</w:t>
      </w:r>
      <w:r w:rsidRPr="00D561A1">
        <w:rPr>
          <w:rFonts w:ascii="Arial Narrow" w:hAnsi="Arial Narrow"/>
          <w:color w:val="000000" w:themeColor="text1"/>
          <w:sz w:val="18"/>
          <w:szCs w:val="18"/>
        </w:rPr>
        <w:t xml:space="preserve">gesetz, Kernarbeitsverordnung (ILO Mindeststandard) relevant und zu beachten. </w:t>
      </w:r>
    </w:p>
  </w:footnote>
  <w:footnote w:id="3">
    <w:p w14:paraId="1BF03E84" w14:textId="2E2F36BC" w:rsidR="00807F50" w:rsidRPr="00D561A1" w:rsidRDefault="00807F50" w:rsidP="00807F50">
      <w:pPr>
        <w:pStyle w:val="Funotentext"/>
        <w:rPr>
          <w:rFonts w:ascii="Arial Narrow" w:hAnsi="Arial Narrow"/>
          <w:sz w:val="18"/>
          <w:szCs w:val="18"/>
        </w:rPr>
      </w:pPr>
      <w:r w:rsidRPr="00D561A1">
        <w:rPr>
          <w:rStyle w:val="Funotenzeichen"/>
          <w:rFonts w:ascii="Arial Narrow" w:hAnsi="Arial Narrow"/>
          <w:sz w:val="18"/>
          <w:szCs w:val="18"/>
        </w:rPr>
        <w:footnoteRef/>
      </w:r>
      <w:r w:rsidRPr="00D561A1">
        <w:rPr>
          <w:rFonts w:ascii="Arial Narrow" w:hAnsi="Arial Narrow"/>
          <w:sz w:val="18"/>
          <w:szCs w:val="18"/>
          <w:vertAlign w:val="superscript"/>
        </w:rPr>
        <w:t xml:space="preserve"> </w:t>
      </w:r>
      <w:r w:rsidRPr="00D561A1">
        <w:rPr>
          <w:rFonts w:ascii="Arial Narrow" w:hAnsi="Arial Narrow"/>
          <w:sz w:val="18"/>
          <w:szCs w:val="18"/>
        </w:rPr>
        <w:t xml:space="preserve">Vgl. § </w:t>
      </w:r>
      <w:r w:rsidR="000F7F4D">
        <w:rPr>
          <w:rFonts w:ascii="Arial Narrow" w:hAnsi="Arial Narrow"/>
          <w:sz w:val="18"/>
          <w:szCs w:val="18"/>
        </w:rPr>
        <w:t>5</w:t>
      </w:r>
      <w:r w:rsidR="006E2C7C">
        <w:rPr>
          <w:rFonts w:ascii="Arial Narrow" w:hAnsi="Arial Narrow"/>
          <w:sz w:val="18"/>
          <w:szCs w:val="18"/>
        </w:rPr>
        <w:t xml:space="preserve"> Abs.2 c) </w:t>
      </w:r>
      <w:proofErr w:type="spellStart"/>
      <w:r w:rsidR="006E2C7C">
        <w:rPr>
          <w:rFonts w:ascii="Arial Narrow" w:hAnsi="Arial Narrow"/>
          <w:sz w:val="18"/>
          <w:szCs w:val="18"/>
        </w:rPr>
        <w:t>TtVG</w:t>
      </w:r>
      <w:proofErr w:type="spellEnd"/>
    </w:p>
  </w:footnote>
  <w:footnote w:id="4">
    <w:p w14:paraId="6A9AFD75" w14:textId="77777777" w:rsidR="00807F50" w:rsidRPr="00D561A1" w:rsidRDefault="00807F50" w:rsidP="00807F50">
      <w:pPr>
        <w:pStyle w:val="Funotentext"/>
        <w:rPr>
          <w:rFonts w:ascii="Arial Narrow" w:hAnsi="Arial Narrow"/>
          <w:sz w:val="18"/>
          <w:szCs w:val="18"/>
        </w:rPr>
      </w:pPr>
      <w:r w:rsidRPr="00D561A1">
        <w:rPr>
          <w:rStyle w:val="Funotenzeichen"/>
          <w:rFonts w:ascii="Arial Narrow" w:hAnsi="Arial Narrow"/>
          <w:sz w:val="18"/>
          <w:szCs w:val="18"/>
        </w:rPr>
        <w:footnoteRef/>
      </w:r>
      <w:r w:rsidRPr="00D561A1">
        <w:rPr>
          <w:rFonts w:ascii="Arial Narrow" w:hAnsi="Arial Narrow"/>
          <w:sz w:val="18"/>
          <w:szCs w:val="18"/>
        </w:rPr>
        <w:t xml:space="preserve"> Vgl. § 5 </w:t>
      </w:r>
      <w:proofErr w:type="spellStart"/>
      <w:r w:rsidRPr="00D561A1">
        <w:rPr>
          <w:rFonts w:ascii="Arial Narrow" w:hAnsi="Arial Narrow"/>
          <w:sz w:val="18"/>
          <w:szCs w:val="18"/>
        </w:rPr>
        <w:t>BremTtVG</w:t>
      </w:r>
      <w:proofErr w:type="spellEnd"/>
    </w:p>
  </w:footnote>
  <w:footnote w:id="5">
    <w:p w14:paraId="5C14F609" w14:textId="77777777" w:rsidR="00807F50" w:rsidRPr="00D561A1" w:rsidRDefault="00807F50" w:rsidP="00807F50">
      <w:pPr>
        <w:pStyle w:val="Funotentext"/>
        <w:rPr>
          <w:rFonts w:ascii="Arial Narrow" w:hAnsi="Arial Narrow"/>
          <w:sz w:val="18"/>
          <w:szCs w:val="18"/>
        </w:rPr>
      </w:pPr>
      <w:r w:rsidRPr="00D561A1">
        <w:rPr>
          <w:rStyle w:val="Funotenzeichen"/>
          <w:rFonts w:ascii="Arial Narrow" w:hAnsi="Arial Narrow"/>
          <w:sz w:val="18"/>
          <w:szCs w:val="18"/>
        </w:rPr>
        <w:footnoteRef/>
      </w:r>
      <w:r w:rsidRPr="00D561A1">
        <w:rPr>
          <w:rFonts w:ascii="Arial Narrow" w:hAnsi="Arial Narrow"/>
          <w:sz w:val="18"/>
          <w:szCs w:val="18"/>
        </w:rPr>
        <w:t xml:space="preserve"> Vgl. § 6 </w:t>
      </w:r>
      <w:proofErr w:type="spellStart"/>
      <w:r w:rsidRPr="00D561A1">
        <w:rPr>
          <w:rFonts w:ascii="Arial Narrow" w:hAnsi="Arial Narrow"/>
          <w:sz w:val="18"/>
          <w:szCs w:val="18"/>
        </w:rPr>
        <w:t>BremTtVG</w:t>
      </w:r>
      <w:proofErr w:type="spellEnd"/>
    </w:p>
  </w:footnote>
  <w:footnote w:id="6">
    <w:p w14:paraId="2B2F9801" w14:textId="77777777" w:rsidR="00807F50" w:rsidRPr="00D561A1" w:rsidRDefault="00807F50" w:rsidP="00807F50">
      <w:pPr>
        <w:pStyle w:val="Funotentext"/>
        <w:rPr>
          <w:rFonts w:ascii="Arial Narrow" w:hAnsi="Arial Narrow"/>
          <w:sz w:val="18"/>
          <w:szCs w:val="18"/>
        </w:rPr>
      </w:pPr>
      <w:r w:rsidRPr="00D561A1">
        <w:rPr>
          <w:rStyle w:val="Funotenzeichen"/>
          <w:rFonts w:ascii="Arial Narrow" w:hAnsi="Arial Narrow"/>
          <w:sz w:val="18"/>
          <w:szCs w:val="18"/>
        </w:rPr>
        <w:footnoteRef/>
      </w:r>
      <w:r w:rsidRPr="00D561A1">
        <w:rPr>
          <w:rFonts w:ascii="Arial Narrow" w:hAnsi="Arial Narrow"/>
          <w:sz w:val="18"/>
          <w:szCs w:val="18"/>
        </w:rPr>
        <w:t xml:space="preserve"> Vgl. § 7 </w:t>
      </w:r>
      <w:proofErr w:type="spellStart"/>
      <w:r w:rsidRPr="00D561A1">
        <w:rPr>
          <w:rFonts w:ascii="Arial Narrow" w:hAnsi="Arial Narrow"/>
          <w:sz w:val="18"/>
          <w:szCs w:val="18"/>
        </w:rPr>
        <w:t>BremTtVG</w:t>
      </w:r>
      <w:proofErr w:type="spellEnd"/>
    </w:p>
  </w:footnote>
  <w:footnote w:id="7">
    <w:p w14:paraId="5BE724F2" w14:textId="77777777" w:rsidR="00807F50" w:rsidRPr="00D561A1" w:rsidRDefault="00807F50" w:rsidP="00807F50">
      <w:pPr>
        <w:rPr>
          <w:rFonts w:ascii="Arial Narrow" w:hAnsi="Arial Narrow"/>
          <w:sz w:val="18"/>
          <w:szCs w:val="18"/>
        </w:rPr>
      </w:pPr>
      <w:r w:rsidRPr="00D561A1">
        <w:rPr>
          <w:rStyle w:val="Funotenzeichen"/>
          <w:rFonts w:ascii="Arial Narrow" w:hAnsi="Arial Narrow"/>
          <w:sz w:val="18"/>
          <w:szCs w:val="18"/>
        </w:rPr>
        <w:footnoteRef/>
      </w:r>
      <w:r w:rsidRPr="00D561A1">
        <w:rPr>
          <w:rStyle w:val="Funotenzeichen"/>
          <w:rFonts w:ascii="Arial Narrow" w:hAnsi="Arial Narrow"/>
        </w:rPr>
        <w:t xml:space="preserve"> </w:t>
      </w:r>
      <w:r w:rsidRPr="00D561A1">
        <w:rPr>
          <w:rFonts w:ascii="Arial Narrow" w:hAnsi="Arial Narrow"/>
          <w:sz w:val="18"/>
          <w:szCs w:val="18"/>
        </w:rPr>
        <w:t xml:space="preserve">Die jeweils aktuellen Schwellenwerte sowie Hinweise zu den bundesrechtlichen Vorschriften finden Sie z.B. unter: </w:t>
      </w:r>
      <w:hyperlink r:id="rId1" w:history="1">
        <w:r w:rsidRPr="00D561A1">
          <w:rPr>
            <w:rStyle w:val="Hyperlink"/>
            <w:rFonts w:ascii="Arial Narrow" w:hAnsi="Arial Narrow"/>
            <w:sz w:val="18"/>
            <w:szCs w:val="18"/>
          </w:rPr>
          <w:t>http://www.bmwi.de/DE/Themen/Wirtschaft/Oeffentliche-Auftraege-und-Vergabe/uebersicht-und-rechtsgrundlagen.html</w:t>
        </w:r>
      </w:hyperlink>
    </w:p>
  </w:footnote>
  <w:footnote w:id="8">
    <w:p w14:paraId="4D8135CC" w14:textId="77777777" w:rsidR="00807F50" w:rsidRPr="00D561A1" w:rsidRDefault="00807F50" w:rsidP="00807F50">
      <w:pPr>
        <w:pStyle w:val="Funotentext"/>
        <w:rPr>
          <w:rFonts w:ascii="Arial Narrow" w:hAnsi="Arial Narrow"/>
          <w:sz w:val="18"/>
          <w:szCs w:val="18"/>
        </w:rPr>
      </w:pPr>
      <w:r w:rsidRPr="00D561A1">
        <w:rPr>
          <w:rStyle w:val="Funotenzeichen"/>
          <w:rFonts w:ascii="Arial Narrow" w:hAnsi="Arial Narrow"/>
          <w:sz w:val="18"/>
          <w:szCs w:val="18"/>
        </w:rPr>
        <w:footnoteRef/>
      </w:r>
      <w:r w:rsidRPr="00D561A1">
        <w:rPr>
          <w:rFonts w:ascii="Arial Narrow" w:hAnsi="Arial Narrow"/>
          <w:sz w:val="18"/>
          <w:szCs w:val="18"/>
        </w:rPr>
        <w:t xml:space="preserve"> Die Schätzung des Auftragswertes richtet sich nach § 3 VgV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4853" w14:textId="77777777" w:rsidR="00742070" w:rsidRDefault="0074207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AAEF" w14:textId="77777777" w:rsidR="00451C20" w:rsidRDefault="00451C20"/>
  <w:p w14:paraId="2D4C65B2" w14:textId="77777777" w:rsidR="00451C20" w:rsidRDefault="00451C20"/>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95486D" w14:paraId="42F50810" w14:textId="77777777" w:rsidTr="000334A7">
      <w:tc>
        <w:tcPr>
          <w:tcW w:w="4606" w:type="dxa"/>
          <w:hideMark/>
        </w:tcPr>
        <w:p w14:paraId="66E63374" w14:textId="77777777" w:rsidR="0095486D" w:rsidRDefault="0095486D">
          <w:pPr>
            <w:pStyle w:val="Kopfzeile"/>
          </w:pPr>
        </w:p>
      </w:tc>
      <w:tc>
        <w:tcPr>
          <w:tcW w:w="4606" w:type="dxa"/>
        </w:tcPr>
        <w:p w14:paraId="2850E885" w14:textId="77777777" w:rsidR="0095486D" w:rsidRDefault="0095486D" w:rsidP="00051D43">
          <w:pPr>
            <w:pStyle w:val="Kopfzeile"/>
            <w:rPr>
              <w:rFonts w:cs="Arial"/>
            </w:rPr>
          </w:pPr>
        </w:p>
      </w:tc>
    </w:tr>
  </w:tbl>
  <w:p w14:paraId="4D432E2B" w14:textId="77777777" w:rsidR="0095486D" w:rsidRDefault="0095486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8F32" w14:textId="77777777" w:rsidR="00683DE4" w:rsidRDefault="00683DE4">
    <w:pPr>
      <w:pStyle w:val="Kopfzeile"/>
    </w:pPr>
  </w:p>
  <w:p w14:paraId="7EF55544" w14:textId="5FF5C50D" w:rsidR="00451C20" w:rsidRDefault="00EB4941">
    <w:pPr>
      <w:pStyle w:val="Kopfzeile"/>
    </w:pPr>
    <w:r>
      <w:rPr>
        <w:noProof/>
      </w:rPr>
      <w:drawing>
        <wp:inline distT="0" distB="0" distL="0" distR="0" wp14:anchorId="0CCDC00C" wp14:editId="28EAC5F2">
          <wp:extent cx="1736185" cy="5810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49070" cy="585337"/>
                  </a:xfrm>
                  <a:prstGeom prst="rect">
                    <a:avLst/>
                  </a:prstGeom>
                </pic:spPr>
              </pic:pic>
            </a:graphicData>
          </a:graphic>
        </wp:inline>
      </w:drawing>
    </w:r>
    <w:r>
      <w:rPr>
        <w:noProof/>
      </w:rPr>
      <w:t xml:space="preserve"> </w:t>
    </w:r>
    <w:r w:rsidR="00E017A7">
      <w:tab/>
      <w:t xml:space="preserve">Anlage </w:t>
    </w:r>
    <w:r w:rsidR="00742070">
      <w:t>6</w:t>
    </w:r>
    <w:r w:rsidR="00E017A7">
      <w:t xml:space="preserve"> FH EMFF</w:t>
    </w:r>
  </w:p>
  <w:p w14:paraId="24D50552" w14:textId="77777777" w:rsidR="00E017A7" w:rsidRDefault="00E017A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64359"/>
    <w:multiLevelType w:val="hybridMultilevel"/>
    <w:tmpl w:val="ECDA1DE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232C47"/>
    <w:multiLevelType w:val="hybridMultilevel"/>
    <w:tmpl w:val="90745D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B756D6"/>
    <w:multiLevelType w:val="hybridMultilevel"/>
    <w:tmpl w:val="1946E244"/>
    <w:lvl w:ilvl="0" w:tplc="D08633C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27C37DF"/>
    <w:multiLevelType w:val="hybridMultilevel"/>
    <w:tmpl w:val="0DE2EE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403450F"/>
    <w:multiLevelType w:val="hybridMultilevel"/>
    <w:tmpl w:val="B31EF602"/>
    <w:lvl w:ilvl="0" w:tplc="1530251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582ADD"/>
    <w:multiLevelType w:val="hybridMultilevel"/>
    <w:tmpl w:val="E8BE5B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E613D0E"/>
    <w:multiLevelType w:val="hybridMultilevel"/>
    <w:tmpl w:val="2E6A1EA0"/>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413D0B72"/>
    <w:multiLevelType w:val="hybridMultilevel"/>
    <w:tmpl w:val="CDCED81A"/>
    <w:lvl w:ilvl="0" w:tplc="14B22D6C">
      <w:start w:val="1"/>
      <w:numFmt w:val="bullet"/>
      <w:lvlText w:val="-"/>
      <w:lvlJc w:val="left"/>
      <w:pPr>
        <w:ind w:left="1800" w:hanging="360"/>
      </w:pPr>
      <w:rPr>
        <w:rFonts w:ascii="Calibri" w:eastAsiaTheme="minorHAnsi" w:hAnsi="Calibri" w:cstheme="minorBidi" w:hint="default"/>
        <w:b/>
      </w:rPr>
    </w:lvl>
    <w:lvl w:ilvl="1" w:tplc="04070003">
      <w:start w:val="1"/>
      <w:numFmt w:val="bullet"/>
      <w:lvlText w:val="o"/>
      <w:lvlJc w:val="left"/>
      <w:pPr>
        <w:ind w:left="2520" w:hanging="360"/>
      </w:pPr>
      <w:rPr>
        <w:rFonts w:ascii="Courier New" w:hAnsi="Courier New" w:cs="Courier New" w:hint="default"/>
      </w:rPr>
    </w:lvl>
    <w:lvl w:ilvl="2" w:tplc="04070005">
      <w:start w:val="1"/>
      <w:numFmt w:val="bullet"/>
      <w:lvlText w:val=""/>
      <w:lvlJc w:val="left"/>
      <w:pPr>
        <w:ind w:left="3240" w:hanging="360"/>
      </w:pPr>
      <w:rPr>
        <w:rFonts w:ascii="Wingdings" w:hAnsi="Wingdings" w:hint="default"/>
      </w:rPr>
    </w:lvl>
    <w:lvl w:ilvl="3" w:tplc="04070001">
      <w:start w:val="1"/>
      <w:numFmt w:val="bullet"/>
      <w:lvlText w:val=""/>
      <w:lvlJc w:val="left"/>
      <w:pPr>
        <w:ind w:left="3960" w:hanging="360"/>
      </w:pPr>
      <w:rPr>
        <w:rFonts w:ascii="Symbol" w:hAnsi="Symbol" w:hint="default"/>
      </w:rPr>
    </w:lvl>
    <w:lvl w:ilvl="4" w:tplc="04070003">
      <w:start w:val="1"/>
      <w:numFmt w:val="bullet"/>
      <w:lvlText w:val="o"/>
      <w:lvlJc w:val="left"/>
      <w:pPr>
        <w:ind w:left="4680" w:hanging="360"/>
      </w:pPr>
      <w:rPr>
        <w:rFonts w:ascii="Courier New" w:hAnsi="Courier New" w:cs="Courier New" w:hint="default"/>
      </w:rPr>
    </w:lvl>
    <w:lvl w:ilvl="5" w:tplc="04070005">
      <w:start w:val="1"/>
      <w:numFmt w:val="bullet"/>
      <w:lvlText w:val=""/>
      <w:lvlJc w:val="left"/>
      <w:pPr>
        <w:ind w:left="5400" w:hanging="360"/>
      </w:pPr>
      <w:rPr>
        <w:rFonts w:ascii="Wingdings" w:hAnsi="Wingdings" w:hint="default"/>
      </w:rPr>
    </w:lvl>
    <w:lvl w:ilvl="6" w:tplc="04070001">
      <w:start w:val="1"/>
      <w:numFmt w:val="bullet"/>
      <w:lvlText w:val=""/>
      <w:lvlJc w:val="left"/>
      <w:pPr>
        <w:ind w:left="6120" w:hanging="360"/>
      </w:pPr>
      <w:rPr>
        <w:rFonts w:ascii="Symbol" w:hAnsi="Symbol" w:hint="default"/>
      </w:rPr>
    </w:lvl>
    <w:lvl w:ilvl="7" w:tplc="04070003">
      <w:start w:val="1"/>
      <w:numFmt w:val="bullet"/>
      <w:lvlText w:val="o"/>
      <w:lvlJc w:val="left"/>
      <w:pPr>
        <w:ind w:left="6840" w:hanging="360"/>
      </w:pPr>
      <w:rPr>
        <w:rFonts w:ascii="Courier New" w:hAnsi="Courier New" w:cs="Courier New" w:hint="default"/>
      </w:rPr>
    </w:lvl>
    <w:lvl w:ilvl="8" w:tplc="04070005">
      <w:start w:val="1"/>
      <w:numFmt w:val="bullet"/>
      <w:lvlText w:val=""/>
      <w:lvlJc w:val="left"/>
      <w:pPr>
        <w:ind w:left="7560" w:hanging="360"/>
      </w:pPr>
      <w:rPr>
        <w:rFonts w:ascii="Wingdings" w:hAnsi="Wingdings" w:hint="default"/>
      </w:rPr>
    </w:lvl>
  </w:abstractNum>
  <w:abstractNum w:abstractNumId="8" w15:restartNumberingAfterBreak="0">
    <w:nsid w:val="43A009A4"/>
    <w:multiLevelType w:val="hybridMultilevel"/>
    <w:tmpl w:val="01CA21CE"/>
    <w:lvl w:ilvl="0" w:tplc="04070011">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4B497F1D"/>
    <w:multiLevelType w:val="hybridMultilevel"/>
    <w:tmpl w:val="C65EA836"/>
    <w:lvl w:ilvl="0" w:tplc="8CD41068">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E916320"/>
    <w:multiLevelType w:val="hybridMultilevel"/>
    <w:tmpl w:val="10A03BE2"/>
    <w:lvl w:ilvl="0" w:tplc="13DE979E">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97589F"/>
    <w:multiLevelType w:val="hybridMultilevel"/>
    <w:tmpl w:val="DC3ECF2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D5B32E7"/>
    <w:multiLevelType w:val="hybridMultilevel"/>
    <w:tmpl w:val="1946E244"/>
    <w:lvl w:ilvl="0" w:tplc="D08633C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1606FC6"/>
    <w:multiLevelType w:val="hybridMultilevel"/>
    <w:tmpl w:val="4B16E124"/>
    <w:lvl w:ilvl="0" w:tplc="C75A7858">
      <w:start w:val="1"/>
      <w:numFmt w:val="lowerLetter"/>
      <w:lvlText w:val="%1)"/>
      <w:lvlJc w:val="left"/>
      <w:pPr>
        <w:ind w:left="72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A825B82"/>
    <w:multiLevelType w:val="hybridMultilevel"/>
    <w:tmpl w:val="A3B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AB371B2"/>
    <w:multiLevelType w:val="hybridMultilevel"/>
    <w:tmpl w:val="12D84A70"/>
    <w:lvl w:ilvl="0" w:tplc="E9FCE4E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B9A1EC9"/>
    <w:multiLevelType w:val="hybridMultilevel"/>
    <w:tmpl w:val="99EC5E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2"/>
  </w:num>
  <w:num w:numId="3">
    <w:abstractNumId w:val="1"/>
  </w:num>
  <w:num w:numId="4">
    <w:abstractNumId w:val="5"/>
  </w:num>
  <w:num w:numId="5">
    <w:abstractNumId w:val="12"/>
  </w:num>
  <w:num w:numId="6">
    <w:abstractNumId w:val="13"/>
  </w:num>
  <w:num w:numId="7">
    <w:abstractNumId w:val="4"/>
  </w:num>
  <w:num w:numId="8">
    <w:abstractNumId w:val="3"/>
  </w:num>
  <w:num w:numId="9">
    <w:abstractNumId w:val="11"/>
  </w:num>
  <w:num w:numId="10">
    <w:abstractNumId w:val="0"/>
  </w:num>
  <w:num w:numId="11">
    <w:abstractNumId w:val="15"/>
  </w:num>
  <w:num w:numId="12">
    <w:abstractNumId w:val="10"/>
  </w:num>
  <w:num w:numId="13">
    <w:abstractNumId w:val="9"/>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455"/>
    <w:rsid w:val="00001FE4"/>
    <w:rsid w:val="00003127"/>
    <w:rsid w:val="00012AF3"/>
    <w:rsid w:val="000334A7"/>
    <w:rsid w:val="00037583"/>
    <w:rsid w:val="00051D43"/>
    <w:rsid w:val="00054AEF"/>
    <w:rsid w:val="0007207A"/>
    <w:rsid w:val="00080B42"/>
    <w:rsid w:val="00084231"/>
    <w:rsid w:val="0008550D"/>
    <w:rsid w:val="000A6BF6"/>
    <w:rsid w:val="000B2573"/>
    <w:rsid w:val="000C1623"/>
    <w:rsid w:val="000D102B"/>
    <w:rsid w:val="000F7F4D"/>
    <w:rsid w:val="00104C86"/>
    <w:rsid w:val="001326BD"/>
    <w:rsid w:val="00134912"/>
    <w:rsid w:val="00143168"/>
    <w:rsid w:val="00152B7B"/>
    <w:rsid w:val="00197366"/>
    <w:rsid w:val="00197A68"/>
    <w:rsid w:val="001D5F26"/>
    <w:rsid w:val="00230FE3"/>
    <w:rsid w:val="00234059"/>
    <w:rsid w:val="00237450"/>
    <w:rsid w:val="00247DE6"/>
    <w:rsid w:val="00283582"/>
    <w:rsid w:val="00297659"/>
    <w:rsid w:val="002A2FF4"/>
    <w:rsid w:val="002D2BA7"/>
    <w:rsid w:val="002F1E59"/>
    <w:rsid w:val="003062A3"/>
    <w:rsid w:val="00310EEC"/>
    <w:rsid w:val="00351A15"/>
    <w:rsid w:val="003678A7"/>
    <w:rsid w:val="00394F95"/>
    <w:rsid w:val="003A16B7"/>
    <w:rsid w:val="003E6794"/>
    <w:rsid w:val="003F3B44"/>
    <w:rsid w:val="0040344B"/>
    <w:rsid w:val="00424994"/>
    <w:rsid w:val="00431812"/>
    <w:rsid w:val="00451C20"/>
    <w:rsid w:val="00497CC0"/>
    <w:rsid w:val="004A2B1B"/>
    <w:rsid w:val="004E0727"/>
    <w:rsid w:val="005A13B0"/>
    <w:rsid w:val="005A315A"/>
    <w:rsid w:val="005C1AF2"/>
    <w:rsid w:val="005D1603"/>
    <w:rsid w:val="005D55C0"/>
    <w:rsid w:val="005E499F"/>
    <w:rsid w:val="005F4146"/>
    <w:rsid w:val="00621680"/>
    <w:rsid w:val="006320B6"/>
    <w:rsid w:val="0065536C"/>
    <w:rsid w:val="006579CF"/>
    <w:rsid w:val="00683DE4"/>
    <w:rsid w:val="006B170E"/>
    <w:rsid w:val="006E2C7C"/>
    <w:rsid w:val="006E743C"/>
    <w:rsid w:val="00701FA9"/>
    <w:rsid w:val="00742070"/>
    <w:rsid w:val="00750B88"/>
    <w:rsid w:val="00764B4A"/>
    <w:rsid w:val="007B60F0"/>
    <w:rsid w:val="007B6836"/>
    <w:rsid w:val="007C1F4F"/>
    <w:rsid w:val="007F5643"/>
    <w:rsid w:val="00807F50"/>
    <w:rsid w:val="00813847"/>
    <w:rsid w:val="0082339D"/>
    <w:rsid w:val="00862C26"/>
    <w:rsid w:val="008C7E5C"/>
    <w:rsid w:val="008F69BA"/>
    <w:rsid w:val="009001E5"/>
    <w:rsid w:val="009018D5"/>
    <w:rsid w:val="009109F5"/>
    <w:rsid w:val="00911181"/>
    <w:rsid w:val="00913C8D"/>
    <w:rsid w:val="00941C44"/>
    <w:rsid w:val="0095486D"/>
    <w:rsid w:val="00954BE0"/>
    <w:rsid w:val="009767B9"/>
    <w:rsid w:val="0098122A"/>
    <w:rsid w:val="009C41BC"/>
    <w:rsid w:val="009D2C4E"/>
    <w:rsid w:val="009E2E4A"/>
    <w:rsid w:val="009E705E"/>
    <w:rsid w:val="009E7B20"/>
    <w:rsid w:val="00A0482B"/>
    <w:rsid w:val="00A148D2"/>
    <w:rsid w:val="00A511BD"/>
    <w:rsid w:val="00A66187"/>
    <w:rsid w:val="00A86BB3"/>
    <w:rsid w:val="00A9068C"/>
    <w:rsid w:val="00AA16E7"/>
    <w:rsid w:val="00AA7003"/>
    <w:rsid w:val="00AB05D7"/>
    <w:rsid w:val="00AB4ADD"/>
    <w:rsid w:val="00AD567E"/>
    <w:rsid w:val="00AF00E8"/>
    <w:rsid w:val="00B07025"/>
    <w:rsid w:val="00B21F9B"/>
    <w:rsid w:val="00B434EA"/>
    <w:rsid w:val="00B71DD4"/>
    <w:rsid w:val="00B73061"/>
    <w:rsid w:val="00BB13BE"/>
    <w:rsid w:val="00BE488D"/>
    <w:rsid w:val="00BF1605"/>
    <w:rsid w:val="00BF190A"/>
    <w:rsid w:val="00BF198C"/>
    <w:rsid w:val="00BF1E70"/>
    <w:rsid w:val="00C348D0"/>
    <w:rsid w:val="00C474F5"/>
    <w:rsid w:val="00C50B8A"/>
    <w:rsid w:val="00C671E6"/>
    <w:rsid w:val="00C76F6C"/>
    <w:rsid w:val="00CA08EF"/>
    <w:rsid w:val="00CC0F8A"/>
    <w:rsid w:val="00CD7CA8"/>
    <w:rsid w:val="00CE318B"/>
    <w:rsid w:val="00CE6AAB"/>
    <w:rsid w:val="00CF7ED4"/>
    <w:rsid w:val="00D03646"/>
    <w:rsid w:val="00D132E6"/>
    <w:rsid w:val="00D25679"/>
    <w:rsid w:val="00D561A1"/>
    <w:rsid w:val="00D60B97"/>
    <w:rsid w:val="00D7590D"/>
    <w:rsid w:val="00DD3367"/>
    <w:rsid w:val="00DD4CC6"/>
    <w:rsid w:val="00DD6EC0"/>
    <w:rsid w:val="00DF4455"/>
    <w:rsid w:val="00E017A7"/>
    <w:rsid w:val="00E25D0A"/>
    <w:rsid w:val="00E268BD"/>
    <w:rsid w:val="00E618CB"/>
    <w:rsid w:val="00E74A65"/>
    <w:rsid w:val="00E9128F"/>
    <w:rsid w:val="00EB4941"/>
    <w:rsid w:val="00EB5F31"/>
    <w:rsid w:val="00EE466E"/>
    <w:rsid w:val="00EF1031"/>
    <w:rsid w:val="00EF2AF7"/>
    <w:rsid w:val="00F059F5"/>
    <w:rsid w:val="00F26BDD"/>
    <w:rsid w:val="00F36A0B"/>
    <w:rsid w:val="00F532C4"/>
    <w:rsid w:val="00F8596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AF5B7B6"/>
  <w15:docId w15:val="{0E621B5E-E2F7-4C96-B2AB-ED546ED9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0B8A"/>
    <w:pPr>
      <w:spacing w:after="0" w:line="240" w:lineRule="auto"/>
    </w:pPr>
    <w:rPr>
      <w:rFonts w:ascii="Arial" w:eastAsia="Times New Roman" w:hAnsi="Arial"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harCharChar">
    <w:name w:val="Char Char Char"/>
    <w:basedOn w:val="Standard"/>
    <w:rsid w:val="00DF4455"/>
    <w:pPr>
      <w:spacing w:after="160" w:line="240" w:lineRule="exact"/>
    </w:pPr>
    <w:rPr>
      <w:rFonts w:ascii="Verdana" w:eastAsia="MS Mincho" w:hAnsi="Verdana"/>
      <w:lang w:val="en-US" w:eastAsia="en-US"/>
    </w:rPr>
  </w:style>
  <w:style w:type="paragraph" w:styleId="Kopfzeile">
    <w:name w:val="header"/>
    <w:basedOn w:val="Standard"/>
    <w:link w:val="KopfzeileZchn"/>
    <w:uiPriority w:val="99"/>
    <w:unhideWhenUsed/>
    <w:rsid w:val="00DF4455"/>
    <w:pPr>
      <w:tabs>
        <w:tab w:val="center" w:pos="4536"/>
        <w:tab w:val="right" w:pos="9072"/>
      </w:tabs>
    </w:pPr>
  </w:style>
  <w:style w:type="character" w:customStyle="1" w:styleId="KopfzeileZchn">
    <w:name w:val="Kopfzeile Zchn"/>
    <w:basedOn w:val="Absatz-Standardschriftart"/>
    <w:link w:val="Kopfzeile"/>
    <w:uiPriority w:val="99"/>
    <w:rsid w:val="00DF4455"/>
    <w:rPr>
      <w:rFonts w:ascii="Arial" w:eastAsia="Times New Roman" w:hAnsi="Arial" w:cs="Times New Roman"/>
      <w:sz w:val="20"/>
      <w:szCs w:val="20"/>
      <w:lang w:eastAsia="de-DE"/>
    </w:rPr>
  </w:style>
  <w:style w:type="paragraph" w:styleId="Fuzeile">
    <w:name w:val="footer"/>
    <w:basedOn w:val="Standard"/>
    <w:link w:val="FuzeileZchn"/>
    <w:uiPriority w:val="99"/>
    <w:unhideWhenUsed/>
    <w:rsid w:val="00DF4455"/>
    <w:pPr>
      <w:tabs>
        <w:tab w:val="center" w:pos="4536"/>
        <w:tab w:val="right" w:pos="9072"/>
      </w:tabs>
    </w:pPr>
  </w:style>
  <w:style w:type="character" w:customStyle="1" w:styleId="FuzeileZchn">
    <w:name w:val="Fußzeile Zchn"/>
    <w:basedOn w:val="Absatz-Standardschriftart"/>
    <w:link w:val="Fuzeile"/>
    <w:uiPriority w:val="99"/>
    <w:rsid w:val="00DF4455"/>
    <w:rPr>
      <w:rFonts w:ascii="Arial" w:eastAsia="Times New Roman" w:hAnsi="Arial" w:cs="Times New Roman"/>
      <w:sz w:val="20"/>
      <w:szCs w:val="20"/>
      <w:lang w:eastAsia="de-DE"/>
    </w:rPr>
  </w:style>
  <w:style w:type="paragraph" w:styleId="Sprechblasentext">
    <w:name w:val="Balloon Text"/>
    <w:basedOn w:val="Standard"/>
    <w:link w:val="SprechblasentextZchn"/>
    <w:uiPriority w:val="99"/>
    <w:semiHidden/>
    <w:unhideWhenUsed/>
    <w:rsid w:val="00DF445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4455"/>
    <w:rPr>
      <w:rFonts w:ascii="Tahoma" w:eastAsia="Times New Roman" w:hAnsi="Tahoma" w:cs="Tahoma"/>
      <w:sz w:val="16"/>
      <w:szCs w:val="16"/>
      <w:lang w:eastAsia="de-DE"/>
    </w:rPr>
  </w:style>
  <w:style w:type="paragraph" w:styleId="Listenabsatz">
    <w:name w:val="List Paragraph"/>
    <w:basedOn w:val="Standard"/>
    <w:uiPriority w:val="34"/>
    <w:qFormat/>
    <w:rsid w:val="00AB4ADD"/>
    <w:pPr>
      <w:ind w:left="720"/>
      <w:contextualSpacing/>
    </w:pPr>
  </w:style>
  <w:style w:type="table" w:styleId="Tabellenraster">
    <w:name w:val="Table Grid"/>
    <w:basedOn w:val="NormaleTabelle"/>
    <w:uiPriority w:val="59"/>
    <w:rsid w:val="005F4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E705E"/>
    <w:rPr>
      <w:sz w:val="16"/>
      <w:szCs w:val="16"/>
    </w:rPr>
  </w:style>
  <w:style w:type="paragraph" w:styleId="Kommentartext">
    <w:name w:val="annotation text"/>
    <w:basedOn w:val="Standard"/>
    <w:link w:val="KommentartextZchn"/>
    <w:uiPriority w:val="99"/>
    <w:semiHidden/>
    <w:unhideWhenUsed/>
    <w:rsid w:val="009E705E"/>
  </w:style>
  <w:style w:type="character" w:customStyle="1" w:styleId="KommentartextZchn">
    <w:name w:val="Kommentartext Zchn"/>
    <w:basedOn w:val="Absatz-Standardschriftart"/>
    <w:link w:val="Kommentartext"/>
    <w:uiPriority w:val="99"/>
    <w:semiHidden/>
    <w:rsid w:val="009E705E"/>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9E705E"/>
    <w:rPr>
      <w:b/>
      <w:bCs/>
    </w:rPr>
  </w:style>
  <w:style w:type="character" w:customStyle="1" w:styleId="KommentarthemaZchn">
    <w:name w:val="Kommentarthema Zchn"/>
    <w:basedOn w:val="KommentartextZchn"/>
    <w:link w:val="Kommentarthema"/>
    <w:uiPriority w:val="99"/>
    <w:semiHidden/>
    <w:rsid w:val="009E705E"/>
    <w:rPr>
      <w:rFonts w:ascii="Arial" w:eastAsia="Times New Roman" w:hAnsi="Arial" w:cs="Times New Roman"/>
      <w:b/>
      <w:bCs/>
      <w:sz w:val="20"/>
      <w:szCs w:val="20"/>
      <w:lang w:eastAsia="de-DE"/>
    </w:rPr>
  </w:style>
  <w:style w:type="paragraph" w:styleId="Funotentext">
    <w:name w:val="footnote text"/>
    <w:basedOn w:val="Standard"/>
    <w:link w:val="FunotentextZchn"/>
    <w:uiPriority w:val="99"/>
    <w:semiHidden/>
    <w:unhideWhenUsed/>
    <w:rsid w:val="00310EEC"/>
  </w:style>
  <w:style w:type="character" w:customStyle="1" w:styleId="FunotentextZchn">
    <w:name w:val="Fußnotentext Zchn"/>
    <w:basedOn w:val="Absatz-Standardschriftart"/>
    <w:link w:val="Funotentext"/>
    <w:uiPriority w:val="99"/>
    <w:semiHidden/>
    <w:rsid w:val="00310EEC"/>
    <w:rPr>
      <w:rFonts w:ascii="Arial" w:eastAsia="Times New Roman" w:hAnsi="Arial" w:cs="Times New Roman"/>
      <w:sz w:val="20"/>
      <w:szCs w:val="20"/>
      <w:lang w:eastAsia="de-DE"/>
    </w:rPr>
  </w:style>
  <w:style w:type="character" w:styleId="Funotenzeichen">
    <w:name w:val="footnote reference"/>
    <w:basedOn w:val="Absatz-Standardschriftart"/>
    <w:uiPriority w:val="99"/>
    <w:semiHidden/>
    <w:unhideWhenUsed/>
    <w:rsid w:val="00310EEC"/>
    <w:rPr>
      <w:vertAlign w:val="superscript"/>
    </w:rPr>
  </w:style>
  <w:style w:type="character" w:styleId="Platzhaltertext">
    <w:name w:val="Placeholder Text"/>
    <w:basedOn w:val="Absatz-Standardschriftart"/>
    <w:uiPriority w:val="99"/>
    <w:semiHidden/>
    <w:rsid w:val="003062A3"/>
    <w:rPr>
      <w:color w:val="808080"/>
    </w:rPr>
  </w:style>
  <w:style w:type="numbering" w:customStyle="1" w:styleId="KeineListe1">
    <w:name w:val="Keine Liste1"/>
    <w:next w:val="KeineListe"/>
    <w:uiPriority w:val="99"/>
    <w:semiHidden/>
    <w:unhideWhenUsed/>
    <w:rsid w:val="00BF190A"/>
  </w:style>
  <w:style w:type="table" w:customStyle="1" w:styleId="Tabellenraster1">
    <w:name w:val="Tabellenraster1"/>
    <w:basedOn w:val="NormaleTabelle"/>
    <w:next w:val="Tabellenraster"/>
    <w:rsid w:val="00BF190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07F50"/>
    <w:rPr>
      <w:color w:val="0000FF" w:themeColor="hyperlink"/>
      <w:u w:val="single"/>
    </w:rPr>
  </w:style>
  <w:style w:type="paragraph" w:customStyle="1" w:styleId="RFlietext">
    <w:name w:val="R Fließtext"/>
    <w:basedOn w:val="Standard"/>
    <w:qFormat/>
    <w:rsid w:val="00AD567E"/>
    <w:pPr>
      <w:spacing w:before="120" w:after="120" w:line="360" w:lineRule="auto"/>
      <w:jc w:val="both"/>
    </w:pPr>
    <w:rPr>
      <w:rFonts w:eastAsiaTheme="minorEastAsia" w:cs="Arial"/>
      <w:sz w:val="22"/>
      <w:szCs w:val="24"/>
      <w:lang w:eastAsia="zh-CN"/>
    </w:rPr>
  </w:style>
  <w:style w:type="character" w:styleId="BesuchterLink">
    <w:name w:val="FollowedHyperlink"/>
    <w:basedOn w:val="Absatz-Standardschriftart"/>
    <w:uiPriority w:val="99"/>
    <w:semiHidden/>
    <w:unhideWhenUsed/>
    <w:rsid w:val="00084231"/>
    <w:rPr>
      <w:color w:val="800080" w:themeColor="followedHyperlink"/>
      <w:u w:val="single"/>
    </w:rPr>
  </w:style>
  <w:style w:type="paragraph" w:styleId="berarbeitung">
    <w:name w:val="Revision"/>
    <w:hidden/>
    <w:uiPriority w:val="99"/>
    <w:semiHidden/>
    <w:rsid w:val="000F7F4D"/>
    <w:pPr>
      <w:spacing w:after="0" w:line="240" w:lineRule="auto"/>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116729">
      <w:bodyDiv w:val="1"/>
      <w:marLeft w:val="0"/>
      <w:marRight w:val="0"/>
      <w:marTop w:val="0"/>
      <w:marBottom w:val="0"/>
      <w:divBdr>
        <w:top w:val="none" w:sz="0" w:space="0" w:color="auto"/>
        <w:left w:val="none" w:sz="0" w:space="0" w:color="auto"/>
        <w:bottom w:val="none" w:sz="0" w:space="0" w:color="auto"/>
        <w:right w:val="none" w:sz="0" w:space="0" w:color="auto"/>
      </w:divBdr>
    </w:div>
    <w:div w:id="206467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DE/TXT/?uri=CELEX%3A32021R1060&amp;qid=163636890594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mwi.de/Redaktion/DE/Downloads/Gesetz/gesetz-gegen-wettbewerbsbeschraenkungen-gwb-teil4-konsolidierte-nicht-amtliche-fassung.pdf?__blob=publicationFile&amp;v=8"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bmwi.de/DE/Themen/Wirtschaft/Oeffentliche-Auftraege-und-Vergabe/uebersicht-und-rechtsgrundlagen.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14E44-1266-4DAB-8603-3B2DE7D91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906</Words>
  <Characters>5708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Casper-Damberg, Jan (Wirtschaft, Arbeit und Haefen)</dc:creator>
  <cp:lastModifiedBy>Focke, Fee-Sophie</cp:lastModifiedBy>
  <cp:revision>2</cp:revision>
  <cp:lastPrinted>2016-12-02T10:38:00Z</cp:lastPrinted>
  <dcterms:created xsi:type="dcterms:W3CDTF">2024-04-02T10:00:00Z</dcterms:created>
  <dcterms:modified xsi:type="dcterms:W3CDTF">2024-04-02T10:00:00Z</dcterms:modified>
</cp:coreProperties>
</file>